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黑体" w:hAnsi="黑体" w:eastAsia="黑体"/>
          <w:b/>
          <w:color w:val="B91C1C"/>
          <w:sz w:val="60"/>
        </w:rPr>
        <w:t>第十八届「挑战杯」全国大学生课外学术科技作品竞赛</w:t>
      </w:r>
    </w:p>
    <w:p>
      <w:pPr>
        <w:spacing w:after="200"/>
        <w:jc w:val="center"/>
      </w:pPr>
      <w:r>
        <w:rPr>
          <w:rFonts w:ascii="黑体" w:hAnsi="黑体" w:eastAsia="黑体"/>
          <w:b/>
          <w:color w:val="111827"/>
          <w:sz w:val="36"/>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280" w:after="14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280" w:after="14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w:t>
      </w:r>
    </w:p>
    <w:p>
      <w:pPr>
        <w:keepNext/>
        <w:keepLines/>
        <w:spacing w:before="160" w:after="6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10"/>
                    <a:stretch>
                      <a:fillRect/>
                    </a:stretch>
                  </pic:blipFill>
                  <pic:spPr>
                    <a:xfrm>
                      <a:off x="0" y="0"/>
                      <a:ext cx="5472000" cy="2239220"/>
                    </a:xfrm>
                    <a:prstGeom prst="rect"/>
                  </pic:spPr>
                </pic:pic>
              </a:graphicData>
            </a:graphic>
          </wp:inline>
        </w:drawing>
      </w:r>
    </w:p>
    <w:p>
      <w:pPr>
        <w:keepLines/>
        <w:spacing w:before="0" w:after="20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现有工作可归为三类：增量搜索类（D* Lite 等）降低重算代价但不解决突发障碍响应；局部控制类（MPC）实时性好但缺全局最优性；学习类方法泛化性与可解释性不足。本作品定位在第二类与第一类之间，兼顾全局性与实时性。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2.1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2.2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2.3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2.4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keepNext/>
        <w:keepLines/>
        <w:spacing w:before="280" w:after="14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作品按「建模—设计—验证—落地」四阶段推进，技术路线如下：</w:t>
      </w:r>
    </w:p>
    <w:p>
      <w:pPr>
        <w:keepNext/>
        <w:keepLines/>
        <w:spacing w:before="160" w:after="6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1"/>
                    <a:stretch>
                      <a:fillRect/>
                    </a:stretch>
                  </pic:blipFill>
                  <pic:spPr>
                    <a:xfrm>
                      <a:off x="0" y="0"/>
                      <a:ext cx="5472000" cy="2191281"/>
                    </a:xfrm>
                    <a:prstGeom prst="rect"/>
                  </pic:spPr>
                </pic:pic>
              </a:graphicData>
            </a:graphic>
          </wp:inline>
        </w:drawing>
      </w:r>
    </w:p>
    <w:p>
      <w:pPr>
        <w:keepLines/>
        <w:spacing w:before="0" w:after="20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w:t>
      </w:r>
    </w:p>
    <w:p>
      <w:pPr>
        <w:keepNext/>
        <w:keepLines/>
        <w:spacing w:before="160" w:after="6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2"/>
                    <a:stretch>
                      <a:fillRect/>
                    </a:stretch>
                  </pic:blipFill>
                  <pic:spPr>
                    <a:xfrm>
                      <a:off x="0" y="0"/>
                      <a:ext cx="5472000" cy="1487700"/>
                    </a:xfrm>
                    <a:prstGeom prst="rect"/>
                  </pic:spPr>
                </pic:pic>
              </a:graphicData>
            </a:graphic>
          </wp:inline>
        </w:drawing>
      </w:r>
    </w:p>
    <w:p>
      <w:pPr>
        <w:keepLines/>
        <w:spacing w:before="0" w:after="20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3.1 三项创新的具体内容</w:t>
      </w:r>
    </w:p>
    <w:p>
      <w:pPr>
        <w:spacing w:before="0" w:after="120" w:lineRule="auto" w:line="360"/>
        <w:ind w:firstLine="480"/>
      </w:pPr>
      <w:r>
        <w:rPr>
          <w:rFonts w:ascii="宋体" w:hAnsi="宋体" w:eastAsia="宋体"/>
          <w:b w:val="0"/>
          <w:color w:val="111827"/>
          <w:sz w:val="24"/>
        </w:rPr>
        <w:t>创新一：动态代价函数。把传统 A*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3.2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w:t>
      </w:r>
    </w:p>
    <w:p>
      <w:pPr>
        <w:keepNext/>
        <w:keepLines/>
        <w:spacing w:before="160" w:after="6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3"/>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3.3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3.4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w:t>
      </w:r>
    </w:p>
    <w:p>
      <w:pPr>
        <w:keepNext/>
        <w:keepLines/>
        <w:spacing w:before="120" w:after="40" w:line="288" w:lineRule="auto"/>
        <w:jc w:val="center"/>
      </w:pPr>
      <w:r>
        <w:rPr>
          <w:rFonts w:ascii="黑体" w:hAnsi="黑体" w:eastAsia="黑体"/>
          <w:b w:val="0"/>
          <w:color w:val="111827"/>
          <w:sz w:val="21"/>
        </w:rPr>
        <w:t>表 1　典型方案与作品在四个维度上的能力对比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spacing w:before="0" w:after="0"/>
              <w:jc w:val="center"/>
            </w:pPr>
            <w:r/>
            <w:r>
              <w:rPr>
                <w:rFonts w:ascii="黑体" w:hAnsi="黑体" w:eastAsia="黑体"/>
                <w:b/>
                <w:color w:val="111827"/>
                <w:sz w:val="21"/>
              </w:rPr>
              <w:t>方案</w:t>
            </w:r>
          </w:p>
        </w:tc>
        <w:tc>
          <w:tcPr>
            <w:tcW w:type="dxa" w:w="1367"/>
          </w:tcPr>
          <w:p>
            <w:pPr>
              <w:spacing w:before="0" w:after="0"/>
              <w:jc w:val="center"/>
            </w:pPr>
            <w:r/>
            <w:r>
              <w:rPr>
                <w:rFonts w:ascii="黑体" w:hAnsi="黑体" w:eastAsia="黑体"/>
                <w:b/>
                <w:color w:val="111827"/>
                <w:sz w:val="21"/>
              </w:rPr>
              <w:t>全局性</w:t>
            </w:r>
          </w:p>
        </w:tc>
        <w:tc>
          <w:tcPr>
            <w:tcW w:type="dxa" w:w="1683"/>
          </w:tcPr>
          <w:p>
            <w:pPr>
              <w:spacing w:before="0" w:after="0"/>
              <w:jc w:val="center"/>
            </w:pPr>
            <w:r/>
            <w:r>
              <w:rPr>
                <w:rFonts w:ascii="黑体" w:hAnsi="黑体" w:eastAsia="黑体"/>
                <w:b/>
                <w:color w:val="111827"/>
                <w:sz w:val="21"/>
              </w:rPr>
              <w:t>动态障碍</w:t>
            </w:r>
          </w:p>
        </w:tc>
        <w:tc>
          <w:tcPr>
            <w:tcW w:type="dxa" w:w="1683"/>
          </w:tcPr>
          <w:p>
            <w:pPr>
              <w:spacing w:before="0" w:after="0"/>
              <w:jc w:val="center"/>
            </w:pPr>
            <w:r/>
            <w:r>
              <w:rPr>
                <w:rFonts w:ascii="黑体" w:hAnsi="黑体" w:eastAsia="黑体"/>
                <w:b/>
                <w:color w:val="111827"/>
                <w:sz w:val="21"/>
              </w:rPr>
              <w:t>算力需求</w:t>
            </w:r>
          </w:p>
        </w:tc>
        <w:tc>
          <w:tcPr>
            <w:tcW w:type="dxa" w:w="2104"/>
          </w:tcPr>
          <w:p>
            <w:pPr>
              <w:spacing w:before="0" w:after="0"/>
              <w:jc w:val="center"/>
            </w:pPr>
            <w:r/>
            <w:r>
              <w:rPr>
                <w:rFonts w:ascii="黑体" w:hAnsi="黑体" w:eastAsia="黑体"/>
                <w:b/>
                <w:color w:val="111827"/>
                <w:sz w:val="21"/>
              </w:rPr>
              <w:t>本项目差异</w:t>
            </w:r>
          </w:p>
        </w:tc>
      </w:tr>
      <w:tr>
        <w:trPr>
          <w:cantSplit/>
        </w:trPr>
        <w:tc>
          <w:tcPr>
            <w:tcW w:type="dxa" w:w="1893"/>
          </w:tcPr>
          <w:p>
            <w:pPr>
              <w:spacing w:before="0" w:after="0" w:line="276" w:lineRule="auto"/>
            </w:pPr>
            <w:r/>
            <w:r>
              <w:rPr>
                <w:rFonts w:ascii="宋体" w:hAnsi="宋体" w:eastAsia="宋体"/>
                <w:b w:val="0"/>
                <w:color w:val="111827"/>
                <w:sz w:val="21"/>
              </w:rPr>
              <w:t>NavFn (nav2)</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不支持</w:t>
            </w:r>
          </w:p>
        </w:tc>
        <w:tc>
          <w:tcPr>
            <w:tcW w:type="dxa" w:w="1683"/>
          </w:tcPr>
          <w:p>
            <w:pPr>
              <w:spacing w:before="0" w:after="0" w:line="276" w:lineRule="auto"/>
              <w:jc w:val="center"/>
            </w:pPr>
            <w:r/>
            <w:r>
              <w:rPr>
                <w:rFonts w:ascii="宋体" w:hAnsi="宋体" w:eastAsia="宋体"/>
                <w:b w:val="0"/>
                <w:color w:val="111827"/>
                <w:sz w:val="21"/>
              </w:rPr>
              <w:t>低</w:t>
            </w:r>
          </w:p>
        </w:tc>
        <w:tc>
          <w:tcPr>
            <w:tcW w:type="dxa" w:w="2104"/>
          </w:tcPr>
          <w:p>
            <w:pPr>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spacing w:before="0" w:after="0" w:line="276" w:lineRule="auto"/>
            </w:pPr>
            <w:r/>
            <w:r>
              <w:rPr>
                <w:rFonts w:ascii="宋体" w:hAnsi="宋体" w:eastAsia="宋体"/>
                <w:b w:val="0"/>
                <w:color w:val="111827"/>
                <w:sz w:val="21"/>
              </w:rPr>
              <w:t>EGO-Planner</w:t>
            </w:r>
          </w:p>
        </w:tc>
        <w:tc>
          <w:tcPr>
            <w:tcW w:type="dxa" w:w="1367"/>
          </w:tcPr>
          <w:p>
            <w:pPr>
              <w:spacing w:before="0" w:after="0" w:line="276" w:lineRule="auto"/>
              <w:jc w:val="center"/>
            </w:pPr>
            <w:r/>
            <w:r>
              <w:rPr>
                <w:rFonts w:ascii="宋体" w:hAnsi="宋体" w:eastAsia="宋体"/>
                <w:b w:val="0"/>
                <w:color w:val="111827"/>
                <w:sz w:val="21"/>
              </w:rPr>
              <w:t>弱</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spacing w:before="0" w:after="0" w:line="276" w:lineRule="auto"/>
            </w:pPr>
            <w:r/>
            <w:r>
              <w:rPr>
                <w:rFonts w:ascii="宋体" w:hAnsi="宋体" w:eastAsia="宋体"/>
                <w:b w:val="0"/>
                <w:color w:val="111827"/>
                <w:sz w:val="21"/>
              </w:rPr>
              <w:t>Fast-Planner</w:t>
            </w:r>
          </w:p>
        </w:tc>
        <w:tc>
          <w:tcPr>
            <w:tcW w:type="dxa" w:w="1367"/>
          </w:tcPr>
          <w:p>
            <w:pPr>
              <w:spacing w:before="0" w:after="0" w:line="276" w:lineRule="auto"/>
              <w:jc w:val="center"/>
            </w:pPr>
            <w:r/>
            <w:r>
              <w:rPr>
                <w:rFonts w:ascii="宋体" w:hAnsi="宋体" w:eastAsia="宋体"/>
                <w:b w:val="0"/>
                <w:color w:val="111827"/>
                <w:sz w:val="21"/>
              </w:rPr>
              <w:t>中</w:t>
            </w:r>
          </w:p>
        </w:tc>
        <w:tc>
          <w:tcPr>
            <w:tcW w:type="dxa" w:w="1683"/>
          </w:tcPr>
          <w:p>
            <w:pPr>
              <w:spacing w:before="0" w:after="0" w:line="276" w:lineRule="auto"/>
              <w:jc w:val="center"/>
            </w:pPr>
            <w:r/>
            <w:r>
              <w:rPr>
                <w:rFonts w:ascii="宋体" w:hAnsi="宋体" w:eastAsia="宋体"/>
                <w:b w:val="0"/>
                <w:color w:val="111827"/>
                <w:sz w:val="21"/>
              </w:rPr>
              <w:t>部分支持</w:t>
            </w:r>
          </w:p>
        </w:tc>
        <w:tc>
          <w:tcPr>
            <w:tcW w:type="dxa" w:w="1683"/>
          </w:tcPr>
          <w:p>
            <w:pPr>
              <w:spacing w:before="0" w:after="0" w:line="276" w:lineRule="auto"/>
              <w:jc w:val="center"/>
            </w:pPr>
            <w:r/>
            <w:r>
              <w:rPr>
                <w:rFonts w:ascii="宋体" w:hAnsi="宋体" w:eastAsia="宋体"/>
                <w:b w:val="0"/>
                <w:color w:val="111827"/>
                <w:sz w:val="21"/>
              </w:rPr>
              <w:t>中高</w:t>
            </w:r>
          </w:p>
        </w:tc>
        <w:tc>
          <w:tcPr>
            <w:tcW w:type="dxa" w:w="2104"/>
          </w:tcPr>
          <w:p>
            <w:pPr>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280" w:after="14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与本作品算法，四项核心指标结果如下：</w:t>
      </w:r>
    </w:p>
    <w:p>
      <w:pPr>
        <w:keepNext/>
        <w:keepLines/>
        <w:spacing w:before="160" w:after="6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4"/>
                    <a:stretch>
                      <a:fillRect/>
                    </a:stretch>
                  </pic:blipFill>
                  <pic:spPr>
                    <a:xfrm>
                      <a:off x="0" y="0"/>
                      <a:ext cx="4415709" cy="2519999"/>
                    </a:xfrm>
                    <a:prstGeom prst="rect"/>
                  </pic:spPr>
                </pic:pic>
              </a:graphicData>
            </a:graphic>
          </wp:inline>
        </w:drawing>
      </w:r>
    </w:p>
    <w:p>
      <w:pPr>
        <w:keepLines/>
        <w:spacing w:before="0" w:after="200"/>
        <w:jc w:val="center"/>
      </w:pPr>
      <w:r>
        <w:rPr>
          <w:rFonts w:ascii="宋体" w:hAnsi="宋体" w:eastAsia="宋体"/>
          <w:b w:val="0"/>
          <w:color w:val="6B7280"/>
          <w:sz w:val="21"/>
        </w:rPr>
        <w:t>图 5　三项算法在四项核心指标上的对比</w:t>
      </w:r>
    </w:p>
    <w:p>
      <w:pPr>
        <w:keepNext/>
        <w:keepLines/>
        <w:spacing w:before="120" w:after="40" w:line="288" w:lineRule="auto"/>
        <w:jc w:val="center"/>
      </w:pPr>
      <w:r>
        <w:rPr>
          <w:rFonts w:ascii="黑体" w:hAnsi="黑体" w:eastAsia="黑体"/>
          <w:b w:val="0"/>
          <w:color w:val="111827"/>
          <w:sz w:val="21"/>
        </w:rPr>
        <w:t>表 2　三种算法在统一测试集上的指标对比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spacing w:before="0" w:after="0"/>
              <w:jc w:val="center"/>
            </w:pPr>
            <w:r/>
            <w:r>
              <w:rPr>
                <w:rFonts w:ascii="黑体" w:hAnsi="黑体" w:eastAsia="黑体"/>
                <w:b/>
                <w:color w:val="111827"/>
                <w:sz w:val="21"/>
              </w:rPr>
              <w:t>指标</w:t>
            </w:r>
          </w:p>
        </w:tc>
        <w:tc>
          <w:tcPr>
            <w:tcW w:type="dxa" w:w="1953"/>
          </w:tcPr>
          <w:p>
            <w:pPr>
              <w:spacing w:before="0" w:after="0"/>
              <w:jc w:val="center"/>
            </w:pPr>
            <w:r/>
            <w:r>
              <w:rPr>
                <w:rFonts w:ascii="黑体" w:hAnsi="黑体" w:eastAsia="黑体"/>
                <w:b/>
                <w:color w:val="111827"/>
                <w:sz w:val="21"/>
              </w:rPr>
              <w:t>经典 A*</w:t>
            </w:r>
          </w:p>
        </w:tc>
        <w:tc>
          <w:tcPr>
            <w:tcW w:type="dxa" w:w="1953"/>
          </w:tcPr>
          <w:p>
            <w:pPr>
              <w:spacing w:before="0" w:after="0"/>
              <w:jc w:val="center"/>
            </w:pPr>
            <w:r/>
            <w:r>
              <w:rPr>
                <w:rFonts w:ascii="黑体" w:hAnsi="黑体" w:eastAsia="黑体"/>
                <w:b/>
                <w:color w:val="111827"/>
                <w:sz w:val="21"/>
              </w:rPr>
              <w:t>D* Lite</w:t>
            </w:r>
          </w:p>
        </w:tc>
        <w:tc>
          <w:tcPr>
            <w:tcW w:type="dxa" w:w="1953"/>
          </w:tcPr>
          <w:p>
            <w:pPr>
              <w:spacing w:before="0" w:after="0"/>
              <w:jc w:val="center"/>
            </w:pPr>
            <w:r/>
            <w:r>
              <w:rPr>
                <w:rFonts w:ascii="黑体" w:hAnsi="黑体" w:eastAsia="黑体"/>
                <w:b/>
                <w:color w:val="111827"/>
                <w:sz w:val="21"/>
              </w:rPr>
              <w:t>本作品</w:t>
            </w:r>
          </w:p>
        </w:tc>
      </w:tr>
      <w:tr>
        <w:trPr>
          <w:cantSplit/>
        </w:trPr>
        <w:tc>
          <w:tcPr>
            <w:tcW w:type="dxa" w:w="2872"/>
          </w:tcPr>
          <w:p>
            <w:pPr>
              <w:spacing w:before="0" w:after="0" w:line="276" w:lineRule="auto"/>
            </w:pPr>
            <w:r/>
            <w:r>
              <w:rPr>
                <w:rFonts w:ascii="宋体" w:hAnsi="宋体" w:eastAsia="宋体"/>
                <w:b w:val="0"/>
                <w:color w:val="111827"/>
                <w:sz w:val="21"/>
              </w:rPr>
              <w:t>路径长度（m）</w:t>
            </w:r>
          </w:p>
        </w:tc>
        <w:tc>
          <w:tcPr>
            <w:tcW w:type="dxa" w:w="1953"/>
          </w:tcPr>
          <w:p>
            <w:pPr>
              <w:spacing w:before="0" w:after="0" w:line="276" w:lineRule="auto"/>
              <w:jc w:val="center"/>
            </w:pPr>
            <w:r/>
            <w:r>
              <w:rPr>
                <w:rFonts w:ascii="宋体" w:hAnsi="宋体" w:eastAsia="宋体"/>
                <w:b w:val="0"/>
                <w:color w:val="111827"/>
                <w:sz w:val="21"/>
              </w:rPr>
              <w:t>128.4</w:t>
            </w:r>
          </w:p>
        </w:tc>
        <w:tc>
          <w:tcPr>
            <w:tcW w:type="dxa" w:w="1953"/>
          </w:tcPr>
          <w:p>
            <w:pPr>
              <w:spacing w:before="0" w:after="0" w:line="276" w:lineRule="auto"/>
              <w:jc w:val="center"/>
            </w:pPr>
            <w:r/>
            <w:r>
              <w:rPr>
                <w:rFonts w:ascii="宋体" w:hAnsi="宋体" w:eastAsia="宋体"/>
                <w:b w:val="0"/>
                <w:color w:val="111827"/>
                <w:sz w:val="21"/>
              </w:rPr>
              <w:t>119.7</w:t>
            </w:r>
          </w:p>
        </w:tc>
        <w:tc>
          <w:tcPr>
            <w:tcW w:type="dxa" w:w="1953"/>
          </w:tcPr>
          <w:p>
            <w:pPr>
              <w:spacing w:before="0" w:after="0" w:line="276" w:lineRule="auto"/>
              <w:jc w:val="center"/>
            </w:pPr>
            <w:r/>
            <w:r>
              <w:rPr>
                <w:rFonts w:ascii="宋体" w:hAnsi="宋体" w:eastAsia="宋体"/>
                <w:b w:val="0"/>
                <w:color w:val="111827"/>
                <w:sz w:val="21"/>
              </w:rPr>
              <w:t>106.2</w:t>
            </w:r>
          </w:p>
        </w:tc>
      </w:tr>
      <w:tr>
        <w:trPr>
          <w:cantSplit/>
        </w:trPr>
        <w:tc>
          <w:tcPr>
            <w:tcW w:type="dxa" w:w="2872"/>
          </w:tcPr>
          <w:p>
            <w:pPr>
              <w:spacing w:before="0" w:after="0" w:line="276" w:lineRule="auto"/>
            </w:pPr>
            <w:r/>
            <w:r>
              <w:rPr>
                <w:rFonts w:ascii="宋体" w:hAnsi="宋体" w:eastAsia="宋体"/>
                <w:b w:val="0"/>
                <w:color w:val="111827"/>
                <w:sz w:val="21"/>
              </w:rPr>
              <w:t>规划耗时（ms）</w:t>
            </w:r>
          </w:p>
        </w:tc>
        <w:tc>
          <w:tcPr>
            <w:tcW w:type="dxa" w:w="1953"/>
          </w:tcPr>
          <w:p>
            <w:pPr>
              <w:spacing w:before="0" w:after="0" w:line="276" w:lineRule="auto"/>
              <w:jc w:val="center"/>
            </w:pPr>
            <w:r/>
            <w:r>
              <w:rPr>
                <w:rFonts w:ascii="宋体" w:hAnsi="宋体" w:eastAsia="宋体"/>
                <w:b w:val="0"/>
                <w:color w:val="111827"/>
                <w:sz w:val="21"/>
              </w:rPr>
              <w:t>420</w:t>
            </w:r>
          </w:p>
        </w:tc>
        <w:tc>
          <w:tcPr>
            <w:tcW w:type="dxa" w:w="1953"/>
          </w:tcPr>
          <w:p>
            <w:pPr>
              <w:spacing w:before="0" w:after="0" w:line="276" w:lineRule="auto"/>
              <w:jc w:val="center"/>
            </w:pPr>
            <w:r/>
            <w:r>
              <w:rPr>
                <w:rFonts w:ascii="宋体" w:hAnsi="宋体" w:eastAsia="宋体"/>
                <w:b w:val="0"/>
                <w:color w:val="111827"/>
                <w:sz w:val="21"/>
              </w:rPr>
              <w:t>236</w:t>
            </w:r>
          </w:p>
        </w:tc>
        <w:tc>
          <w:tcPr>
            <w:tcW w:type="dxa" w:w="1953"/>
          </w:tcPr>
          <w:p>
            <w:pPr>
              <w:spacing w:before="0" w:after="0" w:line="276" w:lineRule="auto"/>
              <w:jc w:val="center"/>
            </w:pPr>
            <w:r/>
            <w:r>
              <w:rPr>
                <w:rFonts w:ascii="宋体" w:hAnsi="宋体" w:eastAsia="宋体"/>
                <w:b w:val="0"/>
                <w:color w:val="111827"/>
                <w:sz w:val="21"/>
              </w:rPr>
              <w:t>168</w:t>
            </w:r>
          </w:p>
        </w:tc>
      </w:tr>
      <w:tr>
        <w:trPr>
          <w:cantSplit/>
        </w:trPr>
        <w:tc>
          <w:tcPr>
            <w:tcW w:type="dxa" w:w="2872"/>
          </w:tcPr>
          <w:p>
            <w:pPr>
              <w:spacing w:before="0" w:after="0" w:line="276" w:lineRule="auto"/>
            </w:pPr>
            <w:r/>
            <w:r>
              <w:rPr>
                <w:rFonts w:ascii="宋体" w:hAnsi="宋体" w:eastAsia="宋体"/>
                <w:b w:val="0"/>
                <w:color w:val="111827"/>
                <w:sz w:val="21"/>
              </w:rPr>
              <w:t>避障成功率（%）</w:t>
            </w:r>
          </w:p>
        </w:tc>
        <w:tc>
          <w:tcPr>
            <w:tcW w:type="dxa" w:w="1953"/>
          </w:tcPr>
          <w:p>
            <w:pPr>
              <w:spacing w:before="0" w:after="0" w:line="276" w:lineRule="auto"/>
              <w:jc w:val="center"/>
            </w:pPr>
            <w:r/>
            <w:r>
              <w:rPr>
                <w:rFonts w:ascii="宋体" w:hAnsi="宋体" w:eastAsia="宋体"/>
                <w:b w:val="0"/>
                <w:color w:val="111827"/>
                <w:sz w:val="21"/>
              </w:rPr>
              <w:t>72.5</w:t>
            </w:r>
          </w:p>
        </w:tc>
        <w:tc>
          <w:tcPr>
            <w:tcW w:type="dxa" w:w="1953"/>
          </w:tcPr>
          <w:p>
            <w:pPr>
              <w:spacing w:before="0" w:after="0" w:line="276" w:lineRule="auto"/>
              <w:jc w:val="center"/>
            </w:pPr>
            <w:r/>
            <w:r>
              <w:rPr>
                <w:rFonts w:ascii="宋体" w:hAnsi="宋体" w:eastAsia="宋体"/>
                <w:b w:val="0"/>
                <w:color w:val="111827"/>
                <w:sz w:val="21"/>
              </w:rPr>
              <w:t>83.1</w:t>
            </w:r>
          </w:p>
        </w:tc>
        <w:tc>
          <w:tcPr>
            <w:tcW w:type="dxa" w:w="1953"/>
          </w:tcPr>
          <w:p>
            <w:pPr>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4.1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4.2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w:t>
      </w:r>
    </w:p>
    <w:p>
      <w:pPr>
        <w:keepNext/>
        <w:keepLines/>
        <w:spacing w:before="120" w:after="40" w:line="288" w:lineRule="auto"/>
        <w:jc w:val="center"/>
      </w:pPr>
      <w:r>
        <w:rPr>
          <w:rFonts w:ascii="黑体" w:hAnsi="黑体" w:eastAsia="黑体"/>
          <w:b w:val="0"/>
          <w:color w:val="111827"/>
          <w:sz w:val="21"/>
        </w:rPr>
        <w:t>表 3　分场景实机测试结果与失败归因</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spacing w:before="0" w:after="0"/>
              <w:jc w:val="center"/>
            </w:pPr>
            <w:r/>
            <w:r>
              <w:rPr>
                <w:rFonts w:ascii="黑体" w:hAnsi="黑体" w:eastAsia="黑体"/>
                <w:b/>
                <w:color w:val="111827"/>
                <w:sz w:val="21"/>
              </w:rPr>
              <w:t>场景</w:t>
            </w:r>
          </w:p>
        </w:tc>
        <w:tc>
          <w:tcPr>
            <w:tcW w:type="dxa" w:w="1746"/>
          </w:tcPr>
          <w:p>
            <w:pPr>
              <w:spacing w:before="0" w:after="0"/>
              <w:jc w:val="center"/>
            </w:pPr>
            <w:r/>
            <w:r>
              <w:rPr>
                <w:rFonts w:ascii="黑体" w:hAnsi="黑体" w:eastAsia="黑体"/>
                <w:b/>
                <w:color w:val="111827"/>
                <w:sz w:val="21"/>
              </w:rPr>
              <w:t>测试架次</w:t>
            </w:r>
          </w:p>
        </w:tc>
        <w:tc>
          <w:tcPr>
            <w:tcW w:type="dxa" w:w="1419"/>
          </w:tcPr>
          <w:p>
            <w:pPr>
              <w:spacing w:before="0" w:after="0"/>
              <w:jc w:val="center"/>
            </w:pPr>
            <w:r/>
            <w:r>
              <w:rPr>
                <w:rFonts w:ascii="黑体" w:hAnsi="黑体" w:eastAsia="黑体"/>
                <w:b/>
                <w:color w:val="111827"/>
                <w:sz w:val="21"/>
              </w:rPr>
              <w:t>成功</w:t>
            </w:r>
          </w:p>
        </w:tc>
        <w:tc>
          <w:tcPr>
            <w:tcW w:type="dxa" w:w="3274"/>
          </w:tcPr>
          <w:p>
            <w:pPr>
              <w:spacing w:before="0" w:after="0"/>
              <w:jc w:val="center"/>
            </w:pPr>
            <w:r/>
            <w:r>
              <w:rPr>
                <w:rFonts w:ascii="黑体" w:hAnsi="黑体" w:eastAsia="黑体"/>
                <w:b/>
                <w:color w:val="111827"/>
                <w:sz w:val="21"/>
              </w:rPr>
              <w:t>失败原因</w:t>
            </w:r>
          </w:p>
        </w:tc>
      </w:tr>
      <w:tr>
        <w:trPr>
          <w:cantSplit/>
        </w:trPr>
        <w:tc>
          <w:tcPr>
            <w:tcW w:type="dxa" w:w="2292"/>
          </w:tcPr>
          <w:p>
            <w:pPr>
              <w:spacing w:before="0" w:after="0" w:line="276" w:lineRule="auto"/>
            </w:pPr>
            <w:r/>
            <w:r>
              <w:rPr>
                <w:rFonts w:ascii="宋体" w:hAnsi="宋体" w:eastAsia="宋体"/>
                <w:b w:val="0"/>
                <w:color w:val="111827"/>
                <w:sz w:val="21"/>
              </w:rPr>
              <w:t>静态密集障碍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15</w:t>
            </w:r>
          </w:p>
        </w:tc>
        <w:tc>
          <w:tcPr>
            <w:tcW w:type="dxa" w:w="3274"/>
          </w:tcPr>
          <w:p>
            <w:pPr>
              <w:spacing w:before="0" w:after="0" w:line="276" w:lineRule="auto"/>
              <w:jc w:val="center"/>
            </w:pPr>
            <w:r/>
            <w:r>
              <w:rPr>
                <w:rFonts w:ascii="宋体" w:hAnsi="宋体" w:eastAsia="宋体"/>
                <w:b w:val="0"/>
                <w:color w:val="111827"/>
                <w:sz w:val="21"/>
              </w:rPr>
              <w:t>—</w:t>
            </w:r>
          </w:p>
        </w:tc>
      </w:tr>
      <w:tr>
        <w:trPr>
          <w:cantSplit/>
        </w:trPr>
        <w:tc>
          <w:tcPr>
            <w:tcW w:type="dxa" w:w="2292"/>
          </w:tcPr>
          <w:p>
            <w:pPr>
              <w:spacing w:before="0" w:after="0" w:line="276" w:lineRule="auto"/>
            </w:pPr>
            <w:r/>
            <w:r>
              <w:rPr>
                <w:rFonts w:ascii="宋体" w:hAnsi="宋体" w:eastAsia="宋体"/>
                <w:b w:val="0"/>
                <w:color w:val="111827"/>
                <w:sz w:val="21"/>
              </w:rPr>
              <w:t>匀速动态障碍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14</w:t>
            </w:r>
          </w:p>
        </w:tc>
        <w:tc>
          <w:tcPr>
            <w:tcW w:type="dxa" w:w="3274"/>
          </w:tcPr>
          <w:p>
            <w:pPr>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4.3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4.4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4.5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4.6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spacing w:before="0" w:after="120" w:lineRule="auto" w:line="360"/>
        <w:ind w:firstLine="480"/>
      </w:pPr>
      <w:r>
        <w:rPr>
          <w:rFonts w:ascii="宋体" w:hAnsi="宋体" w:eastAsia="宋体"/>
          <w:b w:val="0"/>
          <w:color w:val="111827"/>
          <w:sz w:val="24"/>
        </w:rPr>
        <w:t>总体指标容易被平均掉。把 200 组随机场景按「障碍出现方式」拆成四类之后，能看到提升究竟发生在哪里：室内走廊本来就接近满分，收益极小；真正拉开差距的是窄通道与动态障碍密集这两类。</w:t>
      </w:r>
    </w:p>
    <w:p>
      <w:pPr>
        <w:keepNext/>
        <w:keepLines/>
        <w:spacing w:before="160" w:after="60"/>
        <w:jc w:val="center"/>
      </w:pPr>
      <w:r>
        <w:drawing>
          <wp:inline xmlns:a="http://schemas.openxmlformats.org/drawingml/2006/main" xmlns:pic="http://schemas.openxmlformats.org/drawingml/2006/picture">
            <wp:extent cx="5214882" cy="2520000"/>
            <wp:docPr id="6" name="Picture 6"/>
            <wp:cNvGraphicFramePr>
              <a:graphicFrameLocks noChangeAspect="1"/>
            </wp:cNvGraphicFramePr>
            <a:graphic>
              <a:graphicData uri="http://schemas.openxmlformats.org/drawingml/2006/picture">
                <pic:pic>
                  <pic:nvPicPr>
                    <pic:cNvPr id="0" name="22_scenario_success.png"/>
                    <pic:cNvPicPr/>
                  </pic:nvPicPr>
                  <pic:blipFill>
                    <a:blip r:embed="rId15"/>
                    <a:stretch>
                      <a:fillRect/>
                    </a:stretch>
                  </pic:blipFill>
                  <pic:spPr>
                    <a:xfrm>
                      <a:off x="0" y="0"/>
                      <a:ext cx="5214882" cy="2520000"/>
                    </a:xfrm>
                    <a:prstGeom prst="rect"/>
                  </pic:spPr>
                </pic:pic>
              </a:graphicData>
            </a:graphic>
          </wp:inline>
        </w:drawing>
      </w:r>
    </w:p>
    <w:p>
      <w:pPr>
        <w:keepLines/>
        <w:spacing w:before="0" w:after="200"/>
        <w:jc w:val="center"/>
      </w:pPr>
      <w:r>
        <w:rPr>
          <w:rFonts w:ascii="宋体" w:hAnsi="宋体" w:eastAsia="宋体"/>
          <w:b w:val="0"/>
          <w:color w:val="6B7280"/>
          <w:sz w:val="21"/>
        </w:rPr>
        <w:t>图 6　四类典型场景的避障成功率对比</w:t>
      </w:r>
    </w:p>
    <w:p>
      <w:pPr>
        <w:spacing w:before="0" w:after="120" w:lineRule="auto" w:line="360"/>
        <w:ind w:firstLine="480"/>
      </w:pPr>
      <w:r>
        <w:rPr>
          <w:rFonts w:ascii="宋体" w:hAnsi="宋体" w:eastAsia="宋体"/>
          <w:b w:val="0"/>
          <w:color w:val="111827"/>
          <w:sz w:val="24"/>
        </w:rPr>
        <w:t>这个拆分也解释了一个容易被追问的问题：为什么室外有风的场景提升幅度小于窄通道？因为风扰主要影响控制层，而本作品的改进集中在规划层，控制层的补偿只做了延迟建模，没有做风场估计。这是明确的局限，不打算在报告里含糊过去。</w:t>
      </w:r>
    </w:p>
    <w:p>
      <w:pPr>
        <w:spacing w:before="0" w:after="120" w:lineRule="auto" w:line="360"/>
        <w:ind w:firstLine="480"/>
      </w:pPr>
      <w:r>
        <w:rPr>
          <w:rFonts w:ascii="宋体" w:hAnsi="宋体" w:eastAsia="宋体"/>
          <w:b w:val="0"/>
          <w:color w:val="111827"/>
          <w:sz w:val="24"/>
        </w:rPr>
        <w:t>为了确认三项改进各自的贡献，我们做了逐项剥离的消融实验。结论有点反直觉：曲率约束几乎不影响成功率，但对能耗影响明显——这也说明为什么只报成功率的论文会低估它。</w:t>
      </w:r>
    </w:p>
    <w:p>
      <w:pPr>
        <w:keepNext/>
        <w:keepLines/>
        <w:spacing w:before="160" w:after="60"/>
        <w:jc w:val="center"/>
      </w:pPr>
      <w:r>
        <w:drawing>
          <wp:inline xmlns:a="http://schemas.openxmlformats.org/drawingml/2006/main" xmlns:pic="http://schemas.openxmlformats.org/drawingml/2006/picture">
            <wp:extent cx="4979352" cy="2520000"/>
            <wp:docPr id="7" name="Picture 7"/>
            <wp:cNvGraphicFramePr>
              <a:graphicFrameLocks noChangeAspect="1"/>
            </wp:cNvGraphicFramePr>
            <a:graphic>
              <a:graphicData uri="http://schemas.openxmlformats.org/drawingml/2006/picture">
                <pic:pic>
                  <pic:nvPicPr>
                    <pic:cNvPr id="0" name="25_ablation.png"/>
                    <pic:cNvPicPr/>
                  </pic:nvPicPr>
                  <pic:blipFill>
                    <a:blip r:embed="rId16"/>
                    <a:stretch>
                      <a:fillRect/>
                    </a:stretch>
                  </pic:blipFill>
                  <pic:spPr>
                    <a:xfrm>
                      <a:off x="0" y="0"/>
                      <a:ext cx="4979352" cy="2520000"/>
                    </a:xfrm>
                    <a:prstGeom prst="rect"/>
                  </pic:spPr>
                </pic:pic>
              </a:graphicData>
            </a:graphic>
          </wp:inline>
        </w:drawing>
      </w:r>
    </w:p>
    <w:p>
      <w:pPr>
        <w:keepLines/>
        <w:spacing w:before="0" w:after="200"/>
        <w:jc w:val="center"/>
      </w:pPr>
      <w:r>
        <w:rPr>
          <w:rFonts w:ascii="宋体" w:hAnsi="宋体" w:eastAsia="宋体"/>
          <w:b w:val="0"/>
          <w:color w:val="6B7280"/>
          <w:sz w:val="21"/>
        </w:rPr>
        <w:t>图 7　逐项剥离消融实验：各模块对成功率的贡献</w:t>
      </w:r>
    </w:p>
    <w:p>
      <w:pPr>
        <w:keepNext/>
        <w:keepLines/>
        <w:spacing w:before="280" w:after="14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5.1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280" w:after="14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280" w:after="14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Zhou X, Wang Y. Dynamic Path Planning for UAV in Uncertain Environments: A Survey[J]. IEEE Access, 2023, 11: 88214-88231.</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王伟, 李强. 动态环境下移动机器人路径规划研究综述[J]. 自动化学报, 2023, 49(6): 1121-1138.</w:t>
      </w:r>
    </w:p>
    <w:p>
      <w:pPr>
        <w:spacing w:before="0" w:after="120" w:lineRule="auto" w:line="360"/>
      </w:pPr>
      <w:r>
        <w:rPr>
          <w:rFonts w:ascii="宋体" w:hAnsi="宋体" w:eastAsia="宋体"/>
          <w:b w:val="0"/>
          <w:color w:val="111827"/>
          <w:sz w:val="21"/>
        </w:rPr>
        <w:t xml:space="preserve">　[7] 张涛, 陈明. 基于滚动时域的无人机避障规划方法[J]. 航空学报, 2024, 45(3): 328-341.</w:t>
      </w:r>
    </w:p>
    <w:p>
      <w:pPr>
        <w:spacing w:before="0" w:after="120" w:lineRule="auto" w:line="360"/>
      </w:pPr>
      <w:r>
        <w:rPr>
          <w:rFonts w:ascii="宋体" w:hAnsi="宋体" w:eastAsia="宋体"/>
          <w:b w:val="0"/>
          <w:color w:val="111827"/>
          <w:sz w:val="21"/>
        </w:rPr>
        <w:t xml:space="preserve">　[8] 刘洋, 赵磊. 改进 A* 算法在室内机器人导航中的应用[J]. 机器人, 2024, 46(2): 156-165.</w:t>
      </w:r>
    </w:p>
    <w:p>
      <w:pPr>
        <w:spacing w:before="0" w:after="120" w:lineRule="auto" w:line="360"/>
      </w:pPr>
      <w:r>
        <w:rPr>
          <w:rFonts w:ascii="宋体" w:hAnsi="宋体" w:eastAsia="宋体"/>
          <w:b w:val="0"/>
          <w:color w:val="111827"/>
          <w:sz w:val="21"/>
        </w:rPr>
        <w:t xml:space="preserve">　说明：以上条目为示例，格式遵循 GB/T 7714—2015。</w:t>
      </w:r>
    </w:p>
    <w:p>
      <w:pPr>
        <w:keepNext/>
        <w:keepLines/>
        <w:spacing w:before="280" w:after="14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keepNext/>
              <w:keepLines/>
              <w:spacing w:before="40" w:after="40"/>
            </w:pPr>
            <w:r>
              <w:rPr>
                <w:rFonts w:ascii="黑体" w:hAnsi="黑体" w:eastAsia="黑体"/>
                <w:b/>
                <w:color w:val="111827"/>
                <w:sz w:val="21"/>
              </w:rPr>
              <w:t>指导教师推荐意见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学院推荐意见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学校审核意见</w:t>
            </w:r>
          </w:p>
        </w:tc>
      </w:tr>
      <w:tr>
        <w:trPr>
          <w:trHeight w:val="1020" w:hRule="atLeast"/>
          <w:cantSplit/>
        </w:trPr>
        <w:tc>
          <w:tcPr>
            <w:tcW w:type="dxa" w:w="8731"/>
          </w:tcPr>
          <w:p>
            <w:pPr>
              <w:keepNext/>
              <w:keepLines/>
              <w:spacing w:before="0" w:after="0"/>
            </w:pPr>
          </w:p>
        </w:tc>
      </w:tr>
      <w:tr>
        <w:trPr>
          <w:cantSplit/>
        </w:trPr>
        <w:tc>
          <w:tcPr>
            <w:tcW w:type="dxa" w:w="8731"/>
          </w:tcPr>
          <w:p>
            <w:pPr>
              <w:spacing w:before="80" w:after="80"/>
              <w:jc w:val="right"/>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