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280" w:after="140" w:line="360" w:lineRule="auto"/>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280" w:after="140" w:line="360" w:lineRule="auto"/>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研修计划按「课程补齐—方法研究—系统验证」三阶段推进，时间安排如下：</w:t>
      </w:r>
    </w:p>
    <w:p>
      <w:pPr>
        <w:keepNext/>
        <w:keepLines/>
        <w:spacing w:before="160" w:after="6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10"/>
                    <a:stretch>
                      <a:fillRect/>
                    </a:stretch>
                  </pic:blipFill>
                  <pic:spPr>
                    <a:xfrm>
                      <a:off x="0" y="0"/>
                      <a:ext cx="5348767" cy="2520000"/>
                    </a:xfrm>
                    <a:prstGeom prst="rect"/>
                  </pic:spPr>
                </pic:pic>
              </a:graphicData>
            </a:graphic>
          </wp:inline>
        </w:drawing>
      </w:r>
    </w:p>
    <w:p>
      <w:pPr>
        <w:keepLines/>
        <w:spacing w:before="0" w:after="200"/>
        <w:jc w:val="center"/>
      </w:pPr>
      <w:r>
        <w:rPr>
          <w:rFonts w:ascii="宋体" w:hAnsi="宋体" w:eastAsia="宋体"/>
          <w:b w:val="0"/>
          <w:color w:val="6B7280"/>
          <w:sz w:val="21"/>
        </w:rPr>
        <w:t>图 1　24 个月研修计划甘特图</w:t>
      </w:r>
    </w:p>
    <w:p>
      <w:pPr>
        <w:keepNext/>
        <w:keepLines/>
        <w:spacing w:before="120" w:after="40" w:line="288" w:lineRule="auto"/>
        <w:jc w:val="center"/>
      </w:pPr>
      <w:r>
        <w:rPr>
          <w:rFonts w:ascii="黑体" w:hAnsi="黑体" w:eastAsia="黑体"/>
          <w:b w:val="0"/>
          <w:color w:val="111827"/>
          <w:sz w:val="21"/>
        </w:rPr>
        <w:t>表 1　24 个月研修计划的阶段任务与阶段目标</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spacing w:before="0" w:after="0"/>
              <w:jc w:val="center"/>
            </w:pPr>
            <w:r/>
            <w:r>
              <w:rPr>
                <w:rFonts w:ascii="黑体" w:hAnsi="黑体" w:eastAsia="黑体"/>
                <w:b/>
                <w:color w:val="111827"/>
                <w:sz w:val="21"/>
              </w:rPr>
              <w:t>阶段</w:t>
            </w:r>
          </w:p>
        </w:tc>
        <w:tc>
          <w:tcPr>
            <w:tcW w:type="dxa" w:w="1687"/>
          </w:tcPr>
          <w:p>
            <w:pPr>
              <w:spacing w:before="0" w:after="0"/>
              <w:jc w:val="center"/>
            </w:pPr>
            <w:r/>
            <w:r>
              <w:rPr>
                <w:rFonts w:ascii="黑体" w:hAnsi="黑体" w:eastAsia="黑体"/>
                <w:b/>
                <w:color w:val="111827"/>
                <w:sz w:val="21"/>
              </w:rPr>
              <w:t>时间</w:t>
            </w:r>
          </w:p>
        </w:tc>
        <w:tc>
          <w:tcPr>
            <w:tcW w:type="dxa" w:w="3572"/>
          </w:tcPr>
          <w:p>
            <w:pPr>
              <w:spacing w:before="0" w:after="0"/>
              <w:jc w:val="center"/>
            </w:pPr>
            <w:r/>
            <w:r>
              <w:rPr>
                <w:rFonts w:ascii="黑体" w:hAnsi="黑体" w:eastAsia="黑体"/>
                <w:b/>
                <w:color w:val="111827"/>
                <w:sz w:val="21"/>
              </w:rPr>
              <w:t>主要任务</w:t>
            </w:r>
          </w:p>
        </w:tc>
        <w:tc>
          <w:tcPr>
            <w:tcW w:type="dxa" w:w="1984"/>
          </w:tcPr>
          <w:p>
            <w:pPr>
              <w:spacing w:before="0" w:after="0"/>
              <w:jc w:val="center"/>
            </w:pPr>
            <w:r/>
            <w:r>
              <w:rPr>
                <w:rFonts w:ascii="黑体" w:hAnsi="黑体" w:eastAsia="黑体"/>
                <w:b/>
                <w:color w:val="111827"/>
                <w:sz w:val="21"/>
              </w:rPr>
              <w:t>阶段目标</w:t>
            </w:r>
          </w:p>
        </w:tc>
      </w:tr>
      <w:tr>
        <w:trPr>
          <w:cantSplit/>
        </w:trPr>
        <w:tc>
          <w:tcPr>
            <w:tcW w:type="dxa" w:w="1488"/>
          </w:tcPr>
          <w:p>
            <w:pPr>
              <w:spacing w:before="0" w:after="0" w:line="276" w:lineRule="auto"/>
            </w:pPr>
            <w:r/>
            <w:r>
              <w:rPr>
                <w:rFonts w:ascii="宋体" w:hAnsi="宋体" w:eastAsia="宋体"/>
                <w:b w:val="0"/>
                <w:color w:val="111827"/>
                <w:sz w:val="21"/>
              </w:rPr>
              <w:t>课程补齐</w:t>
            </w:r>
          </w:p>
        </w:tc>
        <w:tc>
          <w:tcPr>
            <w:tcW w:type="dxa" w:w="1687"/>
          </w:tcPr>
          <w:p>
            <w:pPr>
              <w:spacing w:before="0" w:after="0" w:line="276" w:lineRule="auto"/>
              <w:jc w:val="center"/>
            </w:pPr>
            <w:r/>
            <w:r>
              <w:rPr>
                <w:rFonts w:ascii="宋体" w:hAnsi="宋体" w:eastAsia="宋体"/>
                <w:b w:val="0"/>
                <w:color w:val="111827"/>
                <w:sz w:val="21"/>
              </w:rPr>
              <w:t>第 1—6 月</w:t>
            </w:r>
          </w:p>
        </w:tc>
        <w:tc>
          <w:tcPr>
            <w:tcW w:type="dxa" w:w="3572"/>
          </w:tcPr>
          <w:p>
            <w:pPr>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spacing w:before="0" w:after="0" w:line="276" w:lineRule="auto"/>
            </w:pPr>
            <w:r/>
            <w:r>
              <w:rPr>
                <w:rFonts w:ascii="宋体" w:hAnsi="宋体" w:eastAsia="宋体"/>
                <w:b w:val="0"/>
                <w:color w:val="111827"/>
                <w:sz w:val="21"/>
              </w:rPr>
              <w:t>方法研究</w:t>
            </w:r>
          </w:p>
        </w:tc>
        <w:tc>
          <w:tcPr>
            <w:tcW w:type="dxa" w:w="1687"/>
          </w:tcPr>
          <w:p>
            <w:pPr>
              <w:spacing w:before="0" w:after="0" w:line="276" w:lineRule="auto"/>
              <w:jc w:val="center"/>
            </w:pPr>
            <w:r/>
            <w:r>
              <w:rPr>
                <w:rFonts w:ascii="宋体" w:hAnsi="宋体" w:eastAsia="宋体"/>
                <w:b w:val="0"/>
                <w:color w:val="111827"/>
                <w:sz w:val="21"/>
              </w:rPr>
              <w:t>第 7—15 月</w:t>
            </w:r>
          </w:p>
        </w:tc>
        <w:tc>
          <w:tcPr>
            <w:tcW w:type="dxa" w:w="3572"/>
          </w:tcPr>
          <w:p>
            <w:pPr>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spacing w:before="0" w:after="0" w:line="276" w:lineRule="auto"/>
            </w:pPr>
            <w:r/>
            <w:r>
              <w:rPr>
                <w:rFonts w:ascii="宋体" w:hAnsi="宋体" w:eastAsia="宋体"/>
                <w:b w:val="0"/>
                <w:color w:val="111827"/>
                <w:sz w:val="21"/>
              </w:rPr>
              <w:t>系统验证</w:t>
            </w:r>
          </w:p>
        </w:tc>
        <w:tc>
          <w:tcPr>
            <w:tcW w:type="dxa" w:w="1687"/>
          </w:tcPr>
          <w:p>
            <w:pPr>
              <w:spacing w:before="0" w:after="0" w:line="276" w:lineRule="auto"/>
              <w:jc w:val="center"/>
            </w:pPr>
            <w:r/>
            <w:r>
              <w:rPr>
                <w:rFonts w:ascii="宋体" w:hAnsi="宋体" w:eastAsia="宋体"/>
                <w:b w:val="0"/>
                <w:color w:val="111827"/>
                <w:sz w:val="21"/>
              </w:rPr>
              <w:t>第 16—22 月</w:t>
            </w:r>
          </w:p>
        </w:tc>
        <w:tc>
          <w:tcPr>
            <w:tcW w:type="dxa" w:w="3572"/>
          </w:tcPr>
          <w:p>
            <w:pPr>
              <w:spacing w:before="0" w:after="0" w:line="276" w:lineRule="auto"/>
              <w:jc w:val="center"/>
            </w:pPr>
            <w:r/>
            <w:r>
              <w:rPr>
                <w:rFonts w:ascii="宋体" w:hAnsi="宋体" w:eastAsia="宋体"/>
                <w:b w:val="0"/>
                <w:color w:val="111827"/>
                <w:sz w:val="21"/>
              </w:rPr>
              <w:t>在实验室整机平台完成验证</w:t>
            </w:r>
          </w:p>
        </w:tc>
        <w:tc>
          <w:tcPr>
            <w:tcW w:type="dxa" w:w="1984"/>
          </w:tcPr>
          <w:p>
            <w:pPr>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2.1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w:t>
      </w:r>
    </w:p>
    <w:p>
      <w:pPr>
        <w:keepNext/>
        <w:keepLines/>
        <w:spacing w:before="160" w:after="6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1"/>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280" w:after="140" w:line="360" w:lineRule="auto"/>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w:t>
      </w:r>
    </w:p>
    <w:p>
      <w:pPr>
        <w:keepNext/>
        <w:keepLines/>
        <w:spacing w:before="120" w:after="40" w:line="288" w:lineRule="auto"/>
        <w:jc w:val="center"/>
      </w:pPr>
      <w:r>
        <w:rPr>
          <w:rFonts w:ascii="黑体" w:hAnsi="黑体" w:eastAsia="黑体"/>
          <w:b w:val="0"/>
          <w:color w:val="111827"/>
          <w:sz w:val="21"/>
        </w:rPr>
        <w:t>表 2　外方导师情况与可提供的接收条件</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spacing w:before="0" w:after="0"/>
              <w:jc w:val="center"/>
            </w:pPr>
            <w:r/>
            <w:r>
              <w:rPr>
                <w:rFonts w:ascii="黑体" w:hAnsi="黑体" w:eastAsia="黑体"/>
                <w:b/>
                <w:color w:val="111827"/>
                <w:sz w:val="21"/>
              </w:rPr>
              <w:t>项目</w:t>
            </w:r>
          </w:p>
        </w:tc>
        <w:tc>
          <w:tcPr>
            <w:tcW w:type="dxa" w:w="6403"/>
          </w:tcPr>
          <w:p>
            <w:pPr>
              <w:spacing w:before="0" w:after="0"/>
              <w:jc w:val="center"/>
            </w:pPr>
            <w:r/>
            <w:r>
              <w:rPr>
                <w:rFonts w:ascii="黑体" w:hAnsi="黑体" w:eastAsia="黑体"/>
                <w:b/>
                <w:color w:val="111827"/>
                <w:sz w:val="21"/>
              </w:rPr>
              <w:t>内容</w:t>
            </w:r>
          </w:p>
        </w:tc>
      </w:tr>
      <w:tr>
        <w:trPr>
          <w:cantSplit/>
        </w:trPr>
        <w:tc>
          <w:tcPr>
            <w:tcW w:type="dxa" w:w="2328"/>
          </w:tcPr>
          <w:p>
            <w:pPr>
              <w:spacing w:before="0" w:after="0" w:line="276" w:lineRule="auto"/>
            </w:pPr>
            <w:r/>
            <w:r>
              <w:rPr>
                <w:rFonts w:ascii="宋体" w:hAnsi="宋体" w:eastAsia="宋体"/>
                <w:b w:val="0"/>
                <w:color w:val="111827"/>
                <w:sz w:val="21"/>
              </w:rPr>
              <w:t>外方导师</w:t>
            </w:r>
          </w:p>
        </w:tc>
        <w:tc>
          <w:tcPr>
            <w:tcW w:type="dxa" w:w="6403"/>
          </w:tcPr>
          <w:p>
            <w:pPr>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spacing w:before="0" w:after="0" w:line="276" w:lineRule="auto"/>
            </w:pPr>
            <w:r/>
            <w:r>
              <w:rPr>
                <w:rFonts w:ascii="宋体" w:hAnsi="宋体" w:eastAsia="宋体"/>
                <w:b w:val="0"/>
                <w:color w:val="111827"/>
                <w:sz w:val="21"/>
              </w:rPr>
              <w:t>研究方向</w:t>
            </w:r>
          </w:p>
        </w:tc>
        <w:tc>
          <w:tcPr>
            <w:tcW w:type="dxa" w:w="6403"/>
          </w:tcPr>
          <w:p>
            <w:pPr>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spacing w:before="0" w:after="0" w:line="276" w:lineRule="auto"/>
            </w:pPr>
            <w:r/>
            <w:r>
              <w:rPr>
                <w:rFonts w:ascii="宋体" w:hAnsi="宋体" w:eastAsia="宋体"/>
                <w:b w:val="0"/>
                <w:color w:val="111827"/>
                <w:sz w:val="21"/>
              </w:rPr>
              <w:t>可提供条件</w:t>
            </w:r>
          </w:p>
        </w:tc>
        <w:tc>
          <w:tcPr>
            <w:tcW w:type="dxa" w:w="6403"/>
          </w:tcPr>
          <w:p>
            <w:pPr>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280" w:after="140" w:line="360" w:lineRule="auto"/>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w:t>
      </w:r>
    </w:p>
    <w:p>
      <w:pPr>
        <w:keepNext/>
        <w:keepLines/>
        <w:spacing w:before="160" w:after="6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2"/>
                    <a:stretch>
                      <a:fillRect/>
                    </a:stretch>
                  </pic:blipFill>
                  <pic:spPr>
                    <a:xfrm>
                      <a:off x="0" y="0"/>
                      <a:ext cx="5132497" cy="2520000"/>
                    </a:xfrm>
                    <a:prstGeom prst="rect"/>
                  </pic:spPr>
                </pic:pic>
              </a:graphicData>
            </a:graphic>
          </wp:inline>
        </w:drawing>
      </w:r>
    </w:p>
    <w:p>
      <w:pPr>
        <w:keepLines/>
        <w:spacing w:before="0" w:after="200"/>
        <w:jc w:val="center"/>
      </w:pPr>
      <w:r>
        <w:rPr>
          <w:rFonts w:ascii="宋体" w:hAnsi="宋体" w:eastAsia="宋体"/>
          <w:b w:val="0"/>
          <w:color w:val="6B7280"/>
          <w:sz w:val="21"/>
        </w:rPr>
        <w:t>图 3　出国准备就绪度自评</w:t>
      </w:r>
    </w:p>
    <w:p>
      <w:pPr>
        <w:keepNext/>
        <w:keepLines/>
        <w:spacing w:before="120" w:after="40" w:line="288" w:lineRule="auto"/>
        <w:jc w:val="center"/>
      </w:pPr>
      <w:r>
        <w:rPr>
          <w:rFonts w:ascii="黑体" w:hAnsi="黑体" w:eastAsia="黑体"/>
          <w:b w:val="0"/>
          <w:color w:val="111827"/>
          <w:sz w:val="21"/>
        </w:rPr>
        <w:t>表 3　语言与跨文化能力的现状、目标与提升做法</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spacing w:before="0" w:after="0"/>
              <w:jc w:val="center"/>
            </w:pPr>
            <w:r/>
            <w:r>
              <w:rPr>
                <w:rFonts w:ascii="黑体" w:hAnsi="黑体" w:eastAsia="黑体"/>
                <w:b/>
                <w:color w:val="111827"/>
                <w:sz w:val="21"/>
              </w:rPr>
              <w:t>能力项</w:t>
            </w:r>
          </w:p>
        </w:tc>
        <w:tc>
          <w:tcPr>
            <w:tcW w:type="dxa" w:w="2710"/>
          </w:tcPr>
          <w:p>
            <w:pPr>
              <w:spacing w:before="0" w:after="0"/>
              <w:jc w:val="center"/>
            </w:pPr>
            <w:r/>
            <w:r>
              <w:rPr>
                <w:rFonts w:ascii="黑体" w:hAnsi="黑体" w:eastAsia="黑体"/>
                <w:b/>
                <w:color w:val="111827"/>
                <w:sz w:val="21"/>
              </w:rPr>
              <w:t>当前状态</w:t>
            </w:r>
          </w:p>
        </w:tc>
        <w:tc>
          <w:tcPr>
            <w:tcW w:type="dxa" w:w="2308"/>
          </w:tcPr>
          <w:p>
            <w:pPr>
              <w:spacing w:before="0" w:after="0"/>
              <w:jc w:val="center"/>
            </w:pPr>
            <w:r/>
            <w:r>
              <w:rPr>
                <w:rFonts w:ascii="黑体" w:hAnsi="黑体" w:eastAsia="黑体"/>
                <w:b/>
                <w:color w:val="111827"/>
                <w:sz w:val="21"/>
              </w:rPr>
              <w:t>目标</w:t>
            </w:r>
          </w:p>
        </w:tc>
        <w:tc>
          <w:tcPr>
            <w:tcW w:type="dxa" w:w="2509"/>
          </w:tcPr>
          <w:p>
            <w:pPr>
              <w:spacing w:before="0" w:after="0"/>
              <w:jc w:val="center"/>
            </w:pPr>
            <w:r/>
            <w:r>
              <w:rPr>
                <w:rFonts w:ascii="黑体" w:hAnsi="黑体" w:eastAsia="黑体"/>
                <w:b/>
                <w:color w:val="111827"/>
                <w:sz w:val="21"/>
              </w:rPr>
              <w:t>具体做法</w:t>
            </w:r>
          </w:p>
        </w:tc>
      </w:tr>
      <w:tr>
        <w:trPr>
          <w:cantSplit/>
        </w:trPr>
        <w:tc>
          <w:tcPr>
            <w:tcW w:type="dxa" w:w="1204"/>
          </w:tcPr>
          <w:p>
            <w:pPr>
              <w:spacing w:before="0" w:after="0" w:line="276" w:lineRule="auto"/>
            </w:pPr>
            <w:r/>
            <w:r>
              <w:rPr>
                <w:rFonts w:ascii="宋体" w:hAnsi="宋体" w:eastAsia="宋体"/>
                <w:b w:val="0"/>
                <w:color w:val="111827"/>
                <w:sz w:val="21"/>
              </w:rPr>
              <w:t>学术写作</w:t>
            </w:r>
          </w:p>
        </w:tc>
        <w:tc>
          <w:tcPr>
            <w:tcW w:type="dxa" w:w="2710"/>
          </w:tcPr>
          <w:p>
            <w:pPr>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spacing w:before="0" w:after="0" w:line="276" w:lineRule="auto"/>
            </w:pPr>
            <w:r/>
            <w:r>
              <w:rPr>
                <w:rFonts w:ascii="宋体" w:hAnsi="宋体" w:eastAsia="宋体"/>
                <w:b w:val="0"/>
                <w:color w:val="111827"/>
                <w:sz w:val="21"/>
              </w:rPr>
              <w:t>口语表达</w:t>
            </w:r>
          </w:p>
        </w:tc>
        <w:tc>
          <w:tcPr>
            <w:tcW w:type="dxa" w:w="2710"/>
          </w:tcPr>
          <w:p>
            <w:pPr>
              <w:spacing w:before="0" w:after="0" w:line="276" w:lineRule="auto"/>
              <w:jc w:val="center"/>
            </w:pPr>
            <w:r/>
            <w:r>
              <w:rPr>
                <w:rFonts w:ascii="宋体" w:hAnsi="宋体" w:eastAsia="宋体"/>
                <w:b w:val="0"/>
                <w:color w:val="111827"/>
                <w:sz w:val="21"/>
              </w:rPr>
              <w:t>日常交流尚可，学术讨论易卡顿</w:t>
            </w:r>
          </w:p>
        </w:tc>
        <w:tc>
          <w:tcPr>
            <w:tcW w:type="dxa" w:w="2308"/>
          </w:tcPr>
          <w:p>
            <w:pPr>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spacing w:before="0" w:after="0" w:line="276" w:lineRule="auto"/>
            </w:pPr>
            <w:r/>
            <w:r>
              <w:rPr>
                <w:rFonts w:ascii="宋体" w:hAnsi="宋体" w:eastAsia="宋体"/>
                <w:b w:val="0"/>
                <w:color w:val="111827"/>
                <w:sz w:val="21"/>
              </w:rPr>
              <w:t>德语</w:t>
            </w:r>
          </w:p>
        </w:tc>
        <w:tc>
          <w:tcPr>
            <w:tcW w:type="dxa" w:w="2710"/>
          </w:tcPr>
          <w:p>
            <w:pPr>
              <w:spacing w:before="0" w:after="0" w:line="276" w:lineRule="auto"/>
              <w:jc w:val="center"/>
            </w:pPr>
            <w:r/>
            <w:r>
              <w:rPr>
                <w:rFonts w:ascii="宋体" w:hAnsi="宋体" w:eastAsia="宋体"/>
                <w:b w:val="0"/>
                <w:color w:val="111827"/>
                <w:sz w:val="21"/>
              </w:rPr>
              <w:t>零基础</w:t>
            </w:r>
          </w:p>
        </w:tc>
        <w:tc>
          <w:tcPr>
            <w:tcW w:type="dxa" w:w="2308"/>
          </w:tcPr>
          <w:p>
            <w:pPr>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280" w:after="140" w:line="360" w:lineRule="auto"/>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w:t>
      </w:r>
    </w:p>
    <w:p>
      <w:pPr>
        <w:keepNext/>
        <w:keepLines/>
        <w:spacing w:before="120" w:after="40" w:line="288" w:lineRule="auto"/>
        <w:jc w:val="center"/>
      </w:pPr>
      <w:r>
        <w:rPr>
          <w:rFonts w:ascii="黑体" w:hAnsi="黑体" w:eastAsia="黑体"/>
          <w:b w:val="0"/>
          <w:color w:val="111827"/>
          <w:sz w:val="21"/>
        </w:rPr>
        <w:t>表 4　留学期间的经费支出结构与大致占比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spacing w:before="0" w:after="0"/>
              <w:jc w:val="center"/>
            </w:pPr>
            <w:r/>
            <w:r>
              <w:rPr>
                <w:rFonts w:ascii="黑体" w:hAnsi="黑体" w:eastAsia="黑体"/>
                <w:b/>
                <w:color w:val="111827"/>
                <w:sz w:val="21"/>
              </w:rPr>
              <w:t>支出项</w:t>
            </w:r>
          </w:p>
        </w:tc>
        <w:tc>
          <w:tcPr>
            <w:tcW w:type="dxa" w:w="5238"/>
          </w:tcPr>
          <w:p>
            <w:pPr>
              <w:spacing w:before="0" w:after="0"/>
              <w:jc w:val="center"/>
            </w:pPr>
            <w:r/>
            <w:r>
              <w:rPr>
                <w:rFonts w:ascii="黑体" w:hAnsi="黑体" w:eastAsia="黑体"/>
                <w:b/>
                <w:color w:val="111827"/>
                <w:sz w:val="21"/>
              </w:rPr>
              <w:t>用途说明</w:t>
            </w:r>
          </w:p>
        </w:tc>
        <w:tc>
          <w:tcPr>
            <w:tcW w:type="dxa" w:w="1746"/>
          </w:tcPr>
          <w:p>
            <w:pPr>
              <w:spacing w:before="0" w:after="0"/>
              <w:jc w:val="center"/>
            </w:pPr>
            <w:r/>
            <w:r>
              <w:rPr>
                <w:rFonts w:ascii="黑体" w:hAnsi="黑体" w:eastAsia="黑体"/>
                <w:b/>
                <w:color w:val="111827"/>
                <w:sz w:val="21"/>
              </w:rPr>
              <w:t>大致占比</w:t>
            </w:r>
          </w:p>
        </w:tc>
      </w:tr>
      <w:tr>
        <w:trPr>
          <w:cantSplit/>
        </w:trPr>
        <w:tc>
          <w:tcPr>
            <w:tcW w:type="dxa" w:w="1746"/>
          </w:tcPr>
          <w:p>
            <w:pPr>
              <w:spacing w:before="0" w:after="0" w:line="276" w:lineRule="auto"/>
            </w:pPr>
            <w:r/>
            <w:r>
              <w:rPr>
                <w:rFonts w:ascii="宋体" w:hAnsi="宋体" w:eastAsia="宋体"/>
                <w:b w:val="0"/>
                <w:color w:val="111827"/>
                <w:sz w:val="21"/>
              </w:rPr>
              <w:t>生活费</w:t>
            </w:r>
          </w:p>
        </w:tc>
        <w:tc>
          <w:tcPr>
            <w:tcW w:type="dxa" w:w="5238"/>
          </w:tcPr>
          <w:p>
            <w:pPr>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spacing w:before="0" w:after="0" w:line="276" w:lineRule="auto"/>
              <w:jc w:val="center"/>
            </w:pPr>
            <w:r/>
            <w:r>
              <w:rPr>
                <w:rFonts w:ascii="宋体" w:hAnsi="宋体" w:eastAsia="宋体"/>
                <w:b w:val="0"/>
                <w:color w:val="111827"/>
                <w:sz w:val="21"/>
              </w:rPr>
              <w:t>约 70%</w:t>
            </w:r>
          </w:p>
        </w:tc>
      </w:tr>
      <w:tr>
        <w:trPr>
          <w:cantSplit/>
        </w:trPr>
        <w:tc>
          <w:tcPr>
            <w:tcW w:type="dxa" w:w="1746"/>
          </w:tcPr>
          <w:p>
            <w:pPr>
              <w:spacing w:before="0" w:after="0" w:line="276" w:lineRule="auto"/>
            </w:pPr>
            <w:r/>
            <w:r>
              <w:rPr>
                <w:rFonts w:ascii="宋体" w:hAnsi="宋体" w:eastAsia="宋体"/>
                <w:b w:val="0"/>
                <w:color w:val="111827"/>
                <w:sz w:val="21"/>
              </w:rPr>
              <w:t>注册与杂费</w:t>
            </w:r>
          </w:p>
        </w:tc>
        <w:tc>
          <w:tcPr>
            <w:tcW w:type="dxa" w:w="5238"/>
          </w:tcPr>
          <w:p>
            <w:pPr>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spacing w:before="0" w:after="0" w:line="276" w:lineRule="auto"/>
              <w:jc w:val="center"/>
            </w:pPr>
            <w:r/>
            <w:r>
              <w:rPr>
                <w:rFonts w:ascii="宋体" w:hAnsi="宋体" w:eastAsia="宋体"/>
                <w:b w:val="0"/>
                <w:color w:val="111827"/>
                <w:sz w:val="21"/>
              </w:rPr>
              <w:t>约 12%</w:t>
            </w:r>
          </w:p>
        </w:tc>
      </w:tr>
      <w:tr>
        <w:trPr>
          <w:cantSplit/>
        </w:trPr>
        <w:tc>
          <w:tcPr>
            <w:tcW w:type="dxa" w:w="1746"/>
          </w:tcPr>
          <w:p>
            <w:pPr>
              <w:spacing w:before="0" w:after="0" w:line="276" w:lineRule="auto"/>
            </w:pPr>
            <w:r/>
            <w:r>
              <w:rPr>
                <w:rFonts w:ascii="宋体" w:hAnsi="宋体" w:eastAsia="宋体"/>
                <w:b w:val="0"/>
                <w:color w:val="111827"/>
                <w:sz w:val="21"/>
              </w:rPr>
              <w:t>医疗保险</w:t>
            </w:r>
          </w:p>
        </w:tc>
        <w:tc>
          <w:tcPr>
            <w:tcW w:type="dxa" w:w="5238"/>
          </w:tcPr>
          <w:p>
            <w:pPr>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spacing w:before="0" w:after="0" w:line="276" w:lineRule="auto"/>
              <w:jc w:val="center"/>
            </w:pPr>
            <w:r/>
            <w:r>
              <w:rPr>
                <w:rFonts w:ascii="宋体" w:hAnsi="宋体" w:eastAsia="宋体"/>
                <w:b w:val="0"/>
                <w:color w:val="111827"/>
                <w:sz w:val="21"/>
              </w:rPr>
              <w:t>约 8%</w:t>
            </w:r>
          </w:p>
        </w:tc>
      </w:tr>
      <w:tr>
        <w:trPr>
          <w:cantSplit/>
        </w:trPr>
        <w:tc>
          <w:tcPr>
            <w:tcW w:type="dxa" w:w="1746"/>
          </w:tcPr>
          <w:p>
            <w:pPr>
              <w:spacing w:before="0" w:after="0" w:line="276" w:lineRule="auto"/>
            </w:pPr>
            <w:r/>
            <w:r>
              <w:rPr>
                <w:rFonts w:ascii="宋体" w:hAnsi="宋体" w:eastAsia="宋体"/>
                <w:b w:val="0"/>
                <w:color w:val="111827"/>
                <w:sz w:val="21"/>
              </w:rPr>
              <w:t>书籍与耗材</w:t>
            </w:r>
          </w:p>
        </w:tc>
        <w:tc>
          <w:tcPr>
            <w:tcW w:type="dxa" w:w="5238"/>
          </w:tcPr>
          <w:p>
            <w:pPr>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280" w:after="140" w:line="360" w:lineRule="auto"/>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spacing w:before="0" w:after="120" w:lineRule="auto" w:line="360"/>
        <w:ind w:firstLine="480"/>
      </w:pPr>
      <w:r>
        <w:rPr>
          <w:rFonts w:ascii="宋体" w:hAnsi="宋体" w:eastAsia="宋体"/>
          <w:b w:val="0"/>
          <w:color w:val="111827"/>
          <w:sz w:val="24"/>
        </w:rPr>
        <w:t>把承诺画成时间轴，是为了让评审看到「两年服务期」不是一句表态，而是一段有具体节点的安排。</w:t>
      </w:r>
    </w:p>
    <w:p>
      <w:pPr>
        <w:keepNext/>
        <w:keepLines/>
        <w:spacing w:before="160" w:after="60"/>
        <w:jc w:val="center"/>
      </w:pPr>
      <w:r>
        <w:drawing>
          <wp:inline xmlns:a="http://schemas.openxmlformats.org/drawingml/2006/main" xmlns:pic="http://schemas.openxmlformats.org/drawingml/2006/picture">
            <wp:extent cx="5472000" cy="1962694"/>
            <wp:docPr id="4" name="Picture 4"/>
            <wp:cNvGraphicFramePr>
              <a:graphicFrameLocks noChangeAspect="1"/>
            </wp:cNvGraphicFramePr>
            <a:graphic>
              <a:graphicData uri="http://schemas.openxmlformats.org/drawingml/2006/picture">
                <pic:pic>
                  <pic:nvPicPr>
                    <pic:cNvPr id="0" name="21_career_path.png"/>
                    <pic:cNvPicPr/>
                  </pic:nvPicPr>
                  <pic:blipFill>
                    <a:blip r:embed="rId13"/>
                    <a:stretch>
                      <a:fillRect/>
                    </a:stretch>
                  </pic:blipFill>
                  <pic:spPr>
                    <a:xfrm>
                      <a:off x="0" y="0"/>
                      <a:ext cx="5472000" cy="1962694"/>
                    </a:xfrm>
                    <a:prstGeom prst="rect"/>
                  </pic:spPr>
                </pic:pic>
              </a:graphicData>
            </a:graphic>
          </wp:inline>
        </w:drawing>
      </w:r>
    </w:p>
    <w:p>
      <w:pPr>
        <w:keepLines/>
        <w:spacing w:before="0" w:after="200"/>
        <w:jc w:val="center"/>
      </w:pPr>
      <w:r>
        <w:rPr>
          <w:rFonts w:ascii="宋体" w:hAnsi="宋体" w:eastAsia="宋体"/>
          <w:b w:val="0"/>
          <w:color w:val="6B7280"/>
          <w:sz w:val="21"/>
        </w:rPr>
        <w:t>图 4　回国服务期与长期发展路径</w:t>
      </w:r>
    </w:p>
    <w:p>
      <w:pPr>
        <w:spacing w:before="0" w:after="120" w:lineRule="auto" w:line="360"/>
        <w:ind w:firstLine="480"/>
      </w:pPr>
      <w:r>
        <w:rPr>
          <w:rFonts w:ascii="宋体" w:hAnsi="宋体" w:eastAsia="宋体"/>
          <w:b w:val="0"/>
          <w:color w:val="111827"/>
          <w:sz w:val="24"/>
        </w:rPr>
        <w:t>关于服务期的两年，我的理解是它对应一个完整的研究周期：第一年搭平台、带学生，第二年出成果、把方法沉淀成课程或工具链。两年刚好够做完一轮，再长就需要更稳定的团队支持，这也是我希望进入高校或院所而不是短期项目组的原因。</w:t>
      </w:r>
    </w:p>
    <w:p>
      <w:pPr>
        <w:keepNext/>
        <w:keepLines/>
        <w:spacing w:before="280" w:after="140" w:line="360" w:lineRule="auto"/>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keepNext/>
              <w:keepLines/>
              <w:spacing w:before="40" w:after="40"/>
            </w:pPr>
            <w:r>
              <w:rPr>
                <w:rFonts w:ascii="黑体" w:hAnsi="黑体" w:eastAsia="黑体"/>
                <w:b/>
                <w:color w:val="111827"/>
                <w:sz w:val="21"/>
              </w:rPr>
              <w:t>申请人签字</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国内导师意见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所在单位推荐意见</w:t>
            </w:r>
          </w:p>
        </w:tc>
      </w:tr>
      <w:tr>
        <w:trPr>
          <w:trHeight w:val="1020" w:hRule="atLeast"/>
          <w:cantSplit/>
        </w:trPr>
        <w:tc>
          <w:tcPr>
            <w:tcW w:type="dxa" w:w="8731"/>
          </w:tcPr>
          <w:p>
            <w:pPr>
              <w:keepNext/>
              <w:keepLines/>
              <w:spacing w:before="0" w:after="0"/>
            </w:pPr>
          </w:p>
        </w:tc>
      </w:tr>
      <w:tr>
        <w:trPr>
          <w:cantSplit/>
        </w:trPr>
        <w:tc>
          <w:tcPr>
            <w:tcW w:type="dxa" w:w="8731"/>
          </w:tcPr>
          <w:p>
            <w:pPr>
              <w:spacing w:before="80" w:after="80"/>
              <w:jc w:val="right"/>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