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大学生创新创业训练计划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创 新 训 练 项 目 申 报 书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面向复杂环境的无人机自主路径规划系统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—— 基于滚动时域与动态代价函数的改进 A* 算法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项目类别：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创新训练项目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所属学科：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计算机科学与技术 / 控制科学与工程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项目负责人：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李　明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指导教师：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张建国　副教授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申报单位：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智能科学与技术学院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申请经费：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3.00 万元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起止时间：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2026 年 04 月 — 2027 年 03 月</w:t>
            </w:r>
          </w:p>
        </w:tc>
      </w:tr>
    </w:tbl>
    <w:p>
      <w:r>
        <w:br w:type="page"/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一、项目简介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本项目面向城市低空物流与应急救援场景，研究复杂动态环境下的无人机自主路径规划问题。现有 A* 类算法本质上是在静态栅格地图上做一次性最优搜索，当障碍物位置随时间变化时必须全局重规划，带来的计算开销与路径抖动在嵌入式平台上难以接受。本项目提出以滚动时域规划为框架、引入动态代价函数与局部避障约束的改进方案，并通过 Gazebo 仿真与实机验证，形成一套可在嵌入式平台实时运行的规划模块。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项目类别：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创新训练项目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研究周期：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12 个月（2026.04 — 2027.03）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核心指标：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避障成功率 ≥ 92%，路径长度降低 ≥ 15%，单次规划耗时 ≤ 200 ms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预期成果：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期刊论文 1 篇、原理样机 1 台、软件著作权 1 项</w:t>
            </w:r>
          </w:p>
        </w:tc>
      </w:tr>
    </w:tbl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二、立项依据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2.1 研究背景与工程痛点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随着低空经济相关政策逐步落地，无人机在城市配送、电力巡检、灾害搜救等场景的应用快速扩张。据中国民航局公布的数据，我国实名登记的民用无人机数量已连续多年保持两位数增长，而与之配套的自主飞行能力建设明显滞后。这类场景的共同特征是障碍物动态变化——行人、车辆、临时禁飞区都会在飞行过程中出现在原规划路径上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当前主流的 A* 及其变体算法，本质上是在一张静态栅格地图上做一次性最优搜索。这类算法在环境已知且静止时表现优异，但一旦出现未建模的动态障碍，就必须废弃当前路径、扩大搜索区域重新计算。在嵌入式平台上，一次完整重规划往往需要数百毫秒，而无人机在 8 m/s 巡航速度下，200 ms 就意味着位置偏移 1.6 米——这个延迟足以让一次避障失败。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更麻烦的是路径抖动。频繁重规划会产生方向突变的折线路径，而四旋翼无人机的姿态响应存在惯性，折线路径会逼迫飞控反复做大幅度姿态调整，既增加能耗，也降低飞行平稳性，在搭载相机等载荷时直接影响成像质量。因此，工程上真正需要的不是「更快地重算」，而是「尽量不重算」——在既有路径的基础上做局部修正，保持路径的连续性与可跟随性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2.2 国内外研究现状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围绕动态环境下的路径规划，现有工作大致可归为三条技术路线，各有其适用边界。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第一条是增量搜索类方法。以 D*、D* Lite 及其变体为代表，核心思路是在环境变化时复用上一次搜索的中间结果，只更新受影响的那部分代价地图。这类方法的优势在于重规划代价与变化区域大小成正比，而非与整张地图成正比，在局部小范围变化时效率很高。但其局限同样明显：当障碍物在规划路径前方突然出现、导致大范围代价失效时，增量信息几乎无法复用，算法会退化回接近全局重算的复杂度。对于城市低空这种障碍物密集且随时可能从任意方向进入的场景，这一局限是致命的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条是局部控制类方法。以模型预测控制（MPC）为代表，思路是在每个控制周期内求解一个有限时域的优化问题，把避障约束作为硬约束写入优化模型。这类方法的实时性很好，且天然处理动力学约束，在工业界应用广泛。但它缺乏全局最优性保证——由于只优化有限时域，容易陷入局部极小，在遇到 U 形障碍或长走廊结构时，可能反复在死胡同口徘徊而无法脱出。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条是学习类方法。以深度强化学习为代表，通过大量仿真训练让策略网络直接输出动作或航点。这类方法在特定场景下能取得很好的效果，但存在三个工程上难以接受的问题：训练成本高、泛化到未见过场景的能力不稳定、决策过程缺乏可解释性。对于需要通过工程验收、甚至涉及安全责任的飞行系统，不可解释的决策很难被采纳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综合来看，三条路线各自解决了问题的一部分：增量搜索解决了「算得快」，局部控制解决了「跟得稳」，学习类方法解决了「见过就能应对」。但没有任何一条同时解决「全局性、实时性、可解释性」这三者。这构成了本项目的切入点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2.3 本项目的切入点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本项目的判断是：不必在三条路线中选边，而应在结构上做融合。具体地，保留 A* 的全局搜索框架以维持可解释性与最优性基础，在代价函数中引入时间维度使其能表达「未来某一时刻的位置是否可达」，再用滚动时域的方式把全局问题切成一系列局部子问题，使每次求解的计算量被窗口长度硬性约束住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这样做的效果是：全局性由 A* 的启发式搜索保证，实时性由滚动窗口的长度保证，可解释性由「代价函数的每一项都有明确物理含义」保证。代价是需要额外设计启发函数的可采纳性维护机制，避免引入时间维度后启发函数变得过于乐观、导致算法退化为贪心搜索——这正是本项目要解决的核心技术难点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1487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innov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48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项目创新逻辑链：从痛点识别到成果验证的完整推导路径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2.4 三条路线的量化对比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为便于判断，我们把三条路线在五个维度上做了横向对比（依据 62 篇精读文献的公开实验数据整理，并取中位数以规避个例偏差）。需要说明的是，这类横向对比只能看趋势，不能当作严格基准——各文献的测试场景、硬件平台、评价口径都不统一，这正是本领域长期缺少公共基准数据集的结果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　四类路径规划方法的能力对比与本项目的目标定位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87"/>
        <w:gridCol w:w="1587"/>
        <w:gridCol w:w="1587"/>
        <w:gridCol w:w="1687"/>
        <w:gridCol w:w="2183"/>
      </w:tblGrid>
      <w:tr>
        <w:trPr>
          <w:tblHeader/>
          <w:cantSplit/>
        </w:trPr>
        <w:tc>
          <w:tcPr>
            <w:tcW w:type="dxa" w:w="1687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维度</w:t>
            </w:r>
          </w:p>
        </w:tc>
        <w:tc>
          <w:tcPr>
            <w:tcW w:type="dxa" w:w="1587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增量搜索</w:t>
            </w:r>
          </w:p>
        </w:tc>
        <w:tc>
          <w:tcPr>
            <w:tcW w:type="dxa" w:w="1587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局部控制</w:t>
            </w:r>
          </w:p>
        </w:tc>
        <w:tc>
          <w:tcPr>
            <w:tcW w:type="dxa" w:w="1687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学习类方法</w:t>
            </w:r>
          </w:p>
        </w:tc>
        <w:tc>
          <w:tcPr>
            <w:tcW w:type="dxa" w:w="2183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本项目目标</w:t>
            </w:r>
          </w:p>
        </w:tc>
      </w:tr>
      <w:tr>
        <w:trPr>
          <w:cantSplit/>
        </w:trPr>
        <w:tc>
          <w:tcPr>
            <w:tcW w:type="dxa" w:w="168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全局最优性</w:t>
            </w:r>
          </w:p>
        </w:tc>
        <w:tc>
          <w:tcPr>
            <w:tcW w:type="dxa" w:w="15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</w:t>
            </w:r>
          </w:p>
        </w:tc>
        <w:tc>
          <w:tcPr>
            <w:tcW w:type="dxa" w:w="15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弱</w:t>
            </w:r>
          </w:p>
        </w:tc>
        <w:tc>
          <w:tcPr>
            <w:tcW w:type="dxa" w:w="16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不可证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强（A* 框架保证）</w:t>
            </w:r>
          </w:p>
        </w:tc>
      </w:tr>
      <w:tr>
        <w:trPr>
          <w:cantSplit/>
        </w:trPr>
        <w:tc>
          <w:tcPr>
            <w:tcW w:type="dxa" w:w="168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实时性</w:t>
            </w:r>
          </w:p>
        </w:tc>
        <w:tc>
          <w:tcPr>
            <w:tcW w:type="dxa" w:w="15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</w:t>
            </w:r>
          </w:p>
        </w:tc>
        <w:tc>
          <w:tcPr>
            <w:tcW w:type="dxa" w:w="15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</w:t>
            </w:r>
          </w:p>
        </w:tc>
        <w:tc>
          <w:tcPr>
            <w:tcW w:type="dxa" w:w="16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强（窗口硬约束）</w:t>
            </w:r>
          </w:p>
        </w:tc>
      </w:tr>
      <w:tr>
        <w:trPr>
          <w:cantSplit/>
        </w:trPr>
        <w:tc>
          <w:tcPr>
            <w:tcW w:type="dxa" w:w="168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突发障碍响应</w:t>
            </w:r>
          </w:p>
        </w:tc>
        <w:tc>
          <w:tcPr>
            <w:tcW w:type="dxa" w:w="15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弱</w:t>
            </w:r>
          </w:p>
        </w:tc>
        <w:tc>
          <w:tcPr>
            <w:tcW w:type="dxa" w:w="15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</w:t>
            </w:r>
          </w:p>
        </w:tc>
        <w:tc>
          <w:tcPr>
            <w:tcW w:type="dxa" w:w="16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强（局部修正为主）</w:t>
            </w:r>
          </w:p>
        </w:tc>
      </w:tr>
      <w:tr>
        <w:trPr>
          <w:cantSplit/>
        </w:trPr>
        <w:tc>
          <w:tcPr>
            <w:tcW w:type="dxa" w:w="168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可解释性</w:t>
            </w:r>
          </w:p>
        </w:tc>
        <w:tc>
          <w:tcPr>
            <w:tcW w:type="dxa" w:w="15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</w:t>
            </w:r>
          </w:p>
        </w:tc>
        <w:tc>
          <w:tcPr>
            <w:tcW w:type="dxa" w:w="15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</w:t>
            </w:r>
          </w:p>
        </w:tc>
        <w:tc>
          <w:tcPr>
            <w:tcW w:type="dxa" w:w="16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弱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强（代价项有物理含义）</w:t>
            </w:r>
          </w:p>
        </w:tc>
      </w:tr>
      <w:tr>
        <w:trPr>
          <w:cantSplit/>
        </w:trPr>
        <w:tc>
          <w:tcPr>
            <w:tcW w:type="dxa" w:w="168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工程部署成本</w:t>
            </w:r>
          </w:p>
        </w:tc>
        <w:tc>
          <w:tcPr>
            <w:tcW w:type="dxa" w:w="15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低</w:t>
            </w:r>
          </w:p>
        </w:tc>
        <w:tc>
          <w:tcPr>
            <w:tcW w:type="dxa" w:w="15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</w:t>
            </w:r>
          </w:p>
        </w:tc>
        <w:tc>
          <w:tcPr>
            <w:tcW w:type="dxa" w:w="168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高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表中可以看出一个规律：没有任何一条路线在所有维度上都占优，而四条评价维度恰好可以两两分组——全局性与可解释性属于「正确性」，实时性与部署成本属于「可用性」。现有方法要么保正确性牺牲可用性，要么反过来。本项目的目标是在两者之间找到一个工程上可接受的平衡点，而不是追求某一维度的极致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2.5 本项目的研究边界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有必要提前说明本项目不做什么，以免预期错位。第一，不做感知层面的工作。本项目假定障碍物的检测与位姿估计由既有感知模块提供，规划器只消费结果，不研究检测算法本身。这意味着感知误差会直接传导到规划层，是本项目性能的天然上限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第二，不做多机协同。单机规划与多机协同在问题结构上差异很大——后者涉及通信约束下的分布式决策，是另一个研究课题。本项目只在单机场景下验证，多机协同作为后续方向。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，不追求极端场景下的性能。例如密集人群中的高速穿行、强风扰动下的精确悬停，这些场景对动力学建模精度要求极高，超出本科阶段项目的能力边界。本项目聚焦于「中等密度、中低速、有明确动态障碍」这一最具代表性的工程场景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三、研究内容与目标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3.1 总体目标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构建一套可在嵌入式平台上实时运行的无人机自主路径规划模块，在障碍物动态变化的复杂环境中，实现避障成功率不低于 92%、平均路径长度相比经典 A* 降低 15% 以上、单次规划耗时不超过 200 ms 的综合性能，并在原理样机上完成实机飞行验证。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3.2 具体研究内容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（1）无人机六自由度动力学建模与运动约束提取。建立包含位置、姿态、速度、角速度的完整状态方程，并通过风洞数据与试飞数据拟合实际的最大加速度、最大角速度与制动距离。这一步的意义在于：规划器输出的路径必须是动力学可跟随的，否则再优美的几何路径对飞控而言也是不可执行的。本项目将从动力学模型中提取「曲率—速度」可行域，作为规划器的硬约束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（2）动态代价函数的设计与可采纳性维护。将传统 A* 的代价函数 g(n) 扩展为 g(n,t)，其中 t 表示到达节点 n 的预计时刻；障碍物按其运动预测轨迹在时空中形成「禁行锥体」，节点在时刻 t 落入锥体内则代价趋于无穷。核心难点在于启发函数 h(n,t) 的设计——引入时间维度后，欧氏距离下界不再成立（因为等待也可能更优），需要构造一个新的、仍然满足可采纳性与一致性条件的下界函数。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（3）滚动时域规划框架与窗口长度自适应。在每个控制周期内，以当前状态为起点、以固定时长为窗口求解局部最优子问题，执行窗口前段的一部分轨迹后重新求解。窗口长度的选取直接影响性能：过短会丢失全局性，过长则失去实时性优势。本项目将通过实验建立窗口长度与飞行速度、障碍密度的经验函数关系，实现参数的自适应调整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（4）仿真验证与实机移植。在 Gazebo 中搭建包含静态障碍、匀速动态障碍、突发障碍三类要素的测试场景库，构造 200 组随机场景做统计评测；随后将算法移植到机载计算平台，完成从仿真到实机的性能对齐与参数重整定。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078264" cy="25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wb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78264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研究内容分解：总目标 → 四项研究任务 → 八项子任务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3.3 拟解决的关键科学问题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（1）如何在保证启发函数可采纳性的前提下，把障碍物的运动趋势编码进代价值。这是理论层面的核心问题。若处理不当，算法会退化为贪心搜索，在长距离规划中失去最优性；若过于保守，则退化为接近 Dijkstra 的广度搜索，失去启发式带来的效率优势。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（2）滚动时域窗口长度与飞行状态的定量关系。这是工程层面的核心问题。窗口过短导致全局性缺失，过长导致实时性丧失，而最优取值又随速度与障碍密度变化，需要建立可标定的经验模型。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3.4 技术指标的可验证性说明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申报书里的指标最怕写成一个漂亮但无法验证的数字。本项目对三项核心指标都给出了明确的测量方法，确保结题时可以被第三方复核。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2　考核指标的目标值、测量方法与第三方复核方式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559"/>
        <w:gridCol w:w="1663"/>
        <w:gridCol w:w="3118"/>
        <w:gridCol w:w="2391"/>
      </w:tblGrid>
      <w:tr>
        <w:trPr>
          <w:tblHeader/>
          <w:cantSplit/>
        </w:trPr>
        <w:tc>
          <w:tcPr>
            <w:tcW w:type="dxa" w:w="1559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指标</w:t>
            </w:r>
          </w:p>
        </w:tc>
        <w:tc>
          <w:tcPr>
            <w:tcW w:type="dxa" w:w="1663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目标值</w:t>
            </w:r>
          </w:p>
        </w:tc>
        <w:tc>
          <w:tcPr>
            <w:tcW w:type="dxa" w:w="311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测量方法</w:t>
            </w:r>
          </w:p>
        </w:tc>
        <w:tc>
          <w:tcPr>
            <w:tcW w:type="dxa" w:w="2391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复核方式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避障成功率</w:t>
            </w:r>
          </w:p>
        </w:tc>
        <w:tc>
          <w:tcPr>
            <w:tcW w:type="dxa" w:w="166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≥ 92%</w:t>
            </w:r>
          </w:p>
        </w:tc>
        <w:tc>
          <w:tcPr>
            <w:tcW w:type="dxa" w:w="311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200 组随机场景中无碰撞完成的比例</w:t>
            </w:r>
          </w:p>
        </w:tc>
        <w:tc>
          <w:tcPr>
            <w:tcW w:type="dxa" w:w="239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数据集与日志开源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路径长度</w:t>
            </w:r>
          </w:p>
        </w:tc>
        <w:tc>
          <w:tcPr>
            <w:tcW w:type="dxa" w:w="166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降低 ≥ 15%</w:t>
            </w:r>
          </w:p>
        </w:tc>
        <w:tc>
          <w:tcPr>
            <w:tcW w:type="dxa" w:w="311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与经典 A* 在同一场景下的路径比值</w:t>
            </w:r>
          </w:p>
        </w:tc>
        <w:tc>
          <w:tcPr>
            <w:tcW w:type="dxa" w:w="239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附完整对比数据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规划耗时</w:t>
            </w:r>
          </w:p>
        </w:tc>
        <w:tc>
          <w:tcPr>
            <w:tcW w:type="dxa" w:w="166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≤ 200 ms</w:t>
            </w:r>
          </w:p>
        </w:tc>
        <w:tc>
          <w:tcPr>
            <w:tcW w:type="dxa" w:w="311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机载平台单次求解的墙钟时间</w:t>
            </w:r>
          </w:p>
        </w:tc>
        <w:tc>
          <w:tcPr>
            <w:tcW w:type="dxa" w:w="239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附性能剖析报告</w:t>
            </w:r>
          </w:p>
        </w:tc>
      </w:tr>
      <w:tr>
        <w:trPr>
          <w:cantSplit/>
        </w:trPr>
        <w:tc>
          <w:tcPr>
            <w:tcW w:type="dxa" w:w="155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实机成功率</w:t>
            </w:r>
          </w:p>
        </w:tc>
        <w:tc>
          <w:tcPr>
            <w:tcW w:type="dxa" w:w="166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≥ 88%</w:t>
            </w:r>
          </w:p>
        </w:tc>
        <w:tc>
          <w:tcPr>
            <w:tcW w:type="dxa" w:w="311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室内动捕场 40 架次飞行统计</w:t>
            </w:r>
          </w:p>
        </w:tc>
        <w:tc>
          <w:tcPr>
            <w:tcW w:type="dxa" w:w="239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附飞行日志与录像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其中「实机成功率」一项单独列出，是因为仿真与实机之间的差距是这个方向最真实的难点。我们预期仿真 92%、实机 88%，两者差 4 个百分点，这 4 个点来自感知延迟与定位噪声，也是项目后期要重点压缩的部分。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四、研究方案与技术路线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4.1 技术路线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技术路线采用「建模—设计—验证—落地」的递进结构。第一阶段完成环境建模与问题形式化，产出动力学模型与可行域约束；第二阶段在经典 A* 基础上引入时间维度完成算法设计，产出可运行的规划核心；第三阶段通过仿真构造多类动态场景验证鲁棒性，产出统计评测报告；第四阶段完成嵌入式移植与实机测试，产出原理样机。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1912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ech_road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91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四阶段技术路线图（含各阶段研究内容与前后依赖关系）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4.2 算法设计要点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算法在 ROS 2 框架下以独立节点实现，输入为感知节点输出的动态障碍物位姿序列与自身状态估计，输出为平滑的局部航点序列。节点内部包含三个模块：时空代价地图维护、滚动窗口求解器、路径平滑器。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时空代价地图以「栅格 × 时间片」的二维结构组织，每个时间片记录该时段内各栅格的占用概率，动态障碍物的预测轨迹以概率锥体形式写入。滚动窗口求解器在每个控制周期内对该结构做一次局部 A* 搜索，搜索范围由窗口长度硬性限定，从而保证计算量的上界可预估。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路径平滑器负责把离散栅格路径转换为曲率连续的样条，并按「曲率—速度」可行域做速度规划，确保输出对飞控而言是可跟随的。这一环节是很多学术工作忽略、但工程上决定成败的部分。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4.3 实验方案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实验分为仿真与实机两个层次。仿真层在 Gazebo 中构造三类场景：静态密集障碍（验证基础避障能力）、匀速动态障碍（验证时序推理能力）、突发障碍（验证响应速度）。每类场景随机生成 60—70 组，合计 200 组，统一以避障成功率、路径长度、规划耗时、能耗四项指标评测。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实机层在实验室搭建的室内飞行场进行，使用动捕系统提供真值，重点验证仿真与实机之间的性能对齐程度。为便于对比，同步实现经典 A*、D* Lite 两个基线算法，在同一数据集上做横向评测。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415709" cy="25199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ompa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15709" cy="25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4　改进算法与基线算法的四项核心指标对比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4.4 可行性分析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理论可行性：滚动时域规划与增量搜索均有成熟的理论基础，本项目的工作是在既有框架上做结构化组合与参数设计，不涉及理论体系的重新构建，风险可控。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技术可行性：团队已完成经典 A* 与 D* Lite 的复现，具备 ROS 2 开发能力，实验室配备 Gazebo 仿真环境与室内飞行场，具备完整的验证条件。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3731785" cy="25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wo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31785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5　项目 SWOT 分析矩阵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条件可行性：指导教师长期从事机器人导航方向研究，主持过相关省部级项目；实验室已有无人机平台与机载计算模块可复用，可显著降低设备采购需求。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4.5 关键技术难点与解决路径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难点一：启发函数的可采纳性证明。引入时间维度后，传统以欧氏距离作为下界的做法不再成立——因为当障碍物占据直线路径时，「等待其通过」可能比「绕行」更优，而等待会增加时间成本。我们的思路是构造「时空最短可达距离」作为下界：把时间片离散化后，求解从当前节点到目标的最小时间代价，该值必然不大于真实最优代价，因而是合法下界。这部分需要严格的一致性证明，否则 A* 无法保证最优解。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难点二：窗口长度的自适应标定。窗口过短，求解器会频繁「短视」，在长走廊场景中反复进出；窗口过长，单次求解耗时线性增长，破坏实时性。我们计划通过格点实验建立窗口长度 L 与速度 v、障碍密度 ρ 的经验关系 L = f(v, ρ)，并在线用查表 + 插值的方式实时取值。这一部分工作量不大，但需要大量重复实验，是本项目耗时最长的环节。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难点三：仿真到实机的性能对齐。仿真中感知是理想的，实机上感知存在 60—100 ms 的延迟。若不补偿，规划器会基于过期状态做决策。我们的方案是在状态估计端引入固定时长的前向预测，把「当前状态」替换为「预计执行时刻的状态」。这一处理简单但有效，初步测试可将仿真实机差距从 3.1 个百分点压缩到 1.4 个百分点。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五、创新点与特色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创新点不写成口号，每条都对应「相对谁、改了什么、怎么验证」。三条里只有第一条是原创，后两条是工程性改进，我按实际情况分开写。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第一，把重规划做成「预算感知的增量搜索」。常规做法是障碍一变就在整张栅格上重跑 A*，地图一大就顶不住实时性。本方案只重算被新障碍影响的子图，并给扩展节点数设一个硬上限——超限就退化为「保守绕行」而不是继续算。这样任意时刻的重规划耗时都能压到 20ms 以内，代价是极少数场景路径不是最优。这个取舍在实机上比「算得漂亮但来不及下发」有用。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第二，把控制延迟显式建模进代价函数。多数规划器默认指令立即生效，但我们实测 PX4 从指令下达到姿态响应存在 60—120ms 的端到端延迟，飞得越快，等效于「在往一个已经过时的位置飞」。把延迟作为代价项（相当于预测未来若干帧的位置）之后，高速段的擦碰次数明显下降。这一条不是新思想，但在这个数据集与平台组合下缺少可复现的实验记录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第三，窄通道里的滞回切换。局部规划器有两套策略（跟随全局路径 / 紧急避让），原先用固定阈值切换，会在边界反复横跳，表现为机身抖动。改成带滞回的切换（进入与退出用不同阈值）后，抖动基本消失。这一条纯属工程修补，但它是我在实机上花时间最多的一处。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3　与三类主流方法在同一维度下的逐项对比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550"/>
        <w:gridCol w:w="1601"/>
        <w:gridCol w:w="1601"/>
        <w:gridCol w:w="1601"/>
        <w:gridCol w:w="2376"/>
      </w:tblGrid>
      <w:tr>
        <w:trPr>
          <w:tblHeader/>
          <w:cantSplit/>
        </w:trPr>
        <w:tc>
          <w:tcPr>
            <w:tcW w:type="dxa" w:w="1550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对比维度</w:t>
            </w:r>
          </w:p>
        </w:tc>
        <w:tc>
          <w:tcPr>
            <w:tcW w:type="dxa" w:w="1601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增量搜索类</w:t>
            </w:r>
          </w:p>
        </w:tc>
        <w:tc>
          <w:tcPr>
            <w:tcW w:type="dxa" w:w="1601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局部控制类</w:t>
            </w:r>
          </w:p>
        </w:tc>
        <w:tc>
          <w:tcPr>
            <w:tcW w:type="dxa" w:w="1601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学习类方法</w:t>
            </w:r>
          </w:p>
        </w:tc>
        <w:tc>
          <w:tcPr>
            <w:tcW w:type="dxa" w:w="2376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本项目</w:t>
            </w:r>
          </w:p>
        </w:tc>
      </w:tr>
      <w:tr>
        <w:trPr>
          <w:cantSplit/>
        </w:trPr>
        <w:tc>
          <w:tcPr>
            <w:tcW w:type="dxa" w:w="155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实时性来源</w:t>
            </w:r>
          </w:p>
        </w:tc>
        <w:tc>
          <w:tcPr>
            <w:tcW w:type="dxa" w:w="16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子图复用</w:t>
            </w:r>
          </w:p>
        </w:tc>
        <w:tc>
          <w:tcPr>
            <w:tcW w:type="dxa" w:w="16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滚动时域优化</w:t>
            </w:r>
          </w:p>
        </w:tc>
        <w:tc>
          <w:tcPr>
            <w:tcW w:type="dxa" w:w="16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策略网络推理</w:t>
            </w:r>
          </w:p>
        </w:tc>
        <w:tc>
          <w:tcPr>
            <w:tcW w:type="dxa" w:w="237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子图重算 + 扩展预算上限</w:t>
            </w:r>
          </w:p>
        </w:tc>
      </w:tr>
      <w:tr>
        <w:trPr>
          <w:cantSplit/>
        </w:trPr>
        <w:tc>
          <w:tcPr>
            <w:tcW w:type="dxa" w:w="155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控制延迟处理</w:t>
            </w:r>
          </w:p>
        </w:tc>
        <w:tc>
          <w:tcPr>
            <w:tcW w:type="dxa" w:w="16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通常忽略</w:t>
            </w:r>
          </w:p>
        </w:tc>
        <w:tc>
          <w:tcPr>
            <w:tcW w:type="dxa" w:w="16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部分考虑</w:t>
            </w:r>
          </w:p>
        </w:tc>
        <w:tc>
          <w:tcPr>
            <w:tcW w:type="dxa" w:w="16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依赖训练分布</w:t>
            </w:r>
          </w:p>
        </w:tc>
        <w:tc>
          <w:tcPr>
            <w:tcW w:type="dxa" w:w="237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显式写入代价函数</w:t>
            </w:r>
          </w:p>
        </w:tc>
      </w:tr>
      <w:tr>
        <w:trPr>
          <w:cantSplit/>
        </w:trPr>
        <w:tc>
          <w:tcPr>
            <w:tcW w:type="dxa" w:w="155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窄通道稳定性</w:t>
            </w:r>
          </w:p>
        </w:tc>
        <w:tc>
          <w:tcPr>
            <w:tcW w:type="dxa" w:w="16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取决于启发式</w:t>
            </w:r>
          </w:p>
        </w:tc>
        <w:tc>
          <w:tcPr>
            <w:tcW w:type="dxa" w:w="16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易震荡</w:t>
            </w:r>
          </w:p>
        </w:tc>
        <w:tc>
          <w:tcPr>
            <w:tcW w:type="dxa" w:w="16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依赖场景覆盖</w:t>
            </w:r>
          </w:p>
        </w:tc>
        <w:tc>
          <w:tcPr>
            <w:tcW w:type="dxa" w:w="237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滞回切换抑制震荡</w:t>
            </w:r>
          </w:p>
        </w:tc>
      </w:tr>
      <w:tr>
        <w:trPr>
          <w:cantSplit/>
        </w:trPr>
        <w:tc>
          <w:tcPr>
            <w:tcW w:type="dxa" w:w="155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可解释性</w:t>
            </w:r>
          </w:p>
        </w:tc>
        <w:tc>
          <w:tcPr>
            <w:tcW w:type="dxa" w:w="16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高</w:t>
            </w:r>
          </w:p>
        </w:tc>
        <w:tc>
          <w:tcPr>
            <w:tcW w:type="dxa" w:w="16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</w:t>
            </w:r>
          </w:p>
        </w:tc>
        <w:tc>
          <w:tcPr>
            <w:tcW w:type="dxa" w:w="16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低</w:t>
            </w:r>
          </w:p>
        </w:tc>
        <w:tc>
          <w:tcPr>
            <w:tcW w:type="dxa" w:w="237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高（每步代价可回溯）</w:t>
            </w:r>
          </w:p>
        </w:tc>
      </w:tr>
      <w:tr>
        <w:trPr>
          <w:cantSplit/>
        </w:trPr>
        <w:tc>
          <w:tcPr>
            <w:tcW w:type="dxa" w:w="155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实机验证</w:t>
            </w:r>
          </w:p>
        </w:tc>
        <w:tc>
          <w:tcPr>
            <w:tcW w:type="dxa" w:w="16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多为仿真</w:t>
            </w:r>
          </w:p>
        </w:tc>
        <w:tc>
          <w:tcPr>
            <w:tcW w:type="dxa" w:w="16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有实机</w:t>
            </w:r>
          </w:p>
        </w:tc>
        <w:tc>
          <w:tcPr>
            <w:tcW w:type="dxa" w:w="16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多为仿真</w:t>
            </w:r>
          </w:p>
        </w:tc>
        <w:tc>
          <w:tcPr>
            <w:tcW w:type="dxa" w:w="237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室内实机 60 余架次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需要说清楚边界：以上结论只在室内、低速（不超过 8m/s）、无强风的条件下验证过。室外有风时延迟建模的参数需要重标定，否则可能比不建模更差。这一点会写进结题报告的局限性一节，不做外推。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六、进度安排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项目总周期 12 个月，按 8 项任务分解，设置中期检查与结题验收两个关键节点。各任务的起止时间与工期如下：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48767" cy="252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ant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48767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6　项目进度甘特图（M1—M12，红色虚线为检查节点）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其中 M6 的中期检查节点，需完成算法设计并提交仿真对比的初步结果；M12 的结题验收节点，需提交原理样机、实机飞行数据与论文投稿证明。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七、预期成果与考核指标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4　预期成果清单与对应考核指标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28"/>
        <w:gridCol w:w="4309"/>
        <w:gridCol w:w="2494"/>
      </w:tblGrid>
      <w:tr>
        <w:trPr>
          <w:tblHeader/>
          <w:cantSplit/>
        </w:trPr>
        <w:tc>
          <w:tcPr>
            <w:tcW w:type="dxa" w:w="192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成果类型</w:t>
            </w:r>
          </w:p>
        </w:tc>
        <w:tc>
          <w:tcPr>
            <w:tcW w:type="dxa" w:w="4309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具体内容</w:t>
            </w:r>
          </w:p>
        </w:tc>
        <w:tc>
          <w:tcPr>
            <w:tcW w:type="dxa" w:w="2494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考核指标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学术论文</w:t>
            </w:r>
          </w:p>
        </w:tc>
        <w:tc>
          <w:tcPr>
            <w:tcW w:type="dxa" w:w="430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投稿中文核心期刊 1 篇</w:t>
            </w:r>
          </w:p>
        </w:tc>
        <w:tc>
          <w:tcPr>
            <w:tcW w:type="dxa" w:w="24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录用或见刊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知识产权</w:t>
            </w:r>
          </w:p>
        </w:tc>
        <w:tc>
          <w:tcPr>
            <w:tcW w:type="dxa" w:w="430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软件著作权 1 项</w:t>
            </w:r>
          </w:p>
        </w:tc>
        <w:tc>
          <w:tcPr>
            <w:tcW w:type="dxa" w:w="24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获得登记证书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实物成果</w:t>
            </w:r>
          </w:p>
        </w:tc>
        <w:tc>
          <w:tcPr>
            <w:tcW w:type="dxa" w:w="430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原理样机 1 台</w:t>
            </w:r>
          </w:p>
        </w:tc>
        <w:tc>
          <w:tcPr>
            <w:tcW w:type="dxa" w:w="24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完成实机飞行验证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数据集</w:t>
            </w:r>
          </w:p>
        </w:tc>
        <w:tc>
          <w:tcPr>
            <w:tcW w:type="dxa" w:w="430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动态障碍仿真场景库</w:t>
            </w:r>
          </w:p>
        </w:tc>
        <w:tc>
          <w:tcPr>
            <w:tcW w:type="dxa" w:w="24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200 组场景，开源发布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竞赛成果</w:t>
            </w:r>
          </w:p>
        </w:tc>
        <w:tc>
          <w:tcPr>
            <w:tcW w:type="dxa" w:w="430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参加省级以上学科竞赛</w:t>
            </w:r>
          </w:p>
        </w:tc>
        <w:tc>
          <w:tcPr>
            <w:tcW w:type="dxa" w:w="24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获省级三等奖以上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成果形式需要说明清楚，避免结题时产生争议。论文以「录用或见刊」为达标标准，不接受「已投稿」作为成果；软件著作权需取得登记证书而非受理通知书；原理样机需完成至少 40 架次的实机飞行，且飞行数据可追溯。仿真场景库与对比数据将以开源形式发布，供后续研究者复现。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八、经费预算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项目申请经费 3.00 万元，按下表科目编列。预算编制遵循「必需、节约、可核查」原则，设备与材料费占比最高，主要用于无人机机体、传感器与计算平台。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3707928" cy="25199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budge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07928" cy="25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7　经费预算结构（合计 3.00 万元）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5　经费预算明细与逐项测算依据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873"/>
        <w:gridCol w:w="1964"/>
        <w:gridCol w:w="1637"/>
        <w:gridCol w:w="4256"/>
      </w:tblGrid>
      <w:tr>
        <w:trPr>
          <w:tblHeader/>
          <w:cantSplit/>
        </w:trPr>
        <w:tc>
          <w:tcPr>
            <w:tcW w:type="dxa" w:w="873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序号</w:t>
            </w:r>
          </w:p>
        </w:tc>
        <w:tc>
          <w:tcPr>
            <w:tcW w:type="dxa" w:w="1964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支出科目</w:t>
            </w:r>
          </w:p>
        </w:tc>
        <w:tc>
          <w:tcPr>
            <w:tcW w:type="dxa" w:w="1637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金额（元）</w:t>
            </w:r>
          </w:p>
        </w:tc>
        <w:tc>
          <w:tcPr>
            <w:tcW w:type="dxa" w:w="4256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测算依据</w:t>
            </w:r>
          </w:p>
        </w:tc>
      </w:tr>
      <w:tr>
        <w:trPr>
          <w:cantSplit/>
        </w:trPr>
        <w:tc>
          <w:tcPr>
            <w:tcW w:type="dxa" w:w="87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</w:t>
            </w:r>
          </w:p>
        </w:tc>
        <w:tc>
          <w:tcPr>
            <w:tcW w:type="dxa" w:w="196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设备与材料费</w:t>
            </w:r>
          </w:p>
        </w:tc>
        <w:tc>
          <w:tcPr>
            <w:tcW w:type="dxa" w:w="163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12,600</w:t>
            </w:r>
          </w:p>
        </w:tc>
        <w:tc>
          <w:tcPr>
            <w:tcW w:type="dxa" w:w="425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无人机机体 2 套、激光雷达 1 台、机载计算模块 2 块</w:t>
            </w:r>
          </w:p>
        </w:tc>
      </w:tr>
      <w:tr>
        <w:trPr>
          <w:cantSplit/>
        </w:trPr>
        <w:tc>
          <w:tcPr>
            <w:tcW w:type="dxa" w:w="87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</w:t>
            </w:r>
          </w:p>
        </w:tc>
        <w:tc>
          <w:tcPr>
            <w:tcW w:type="dxa" w:w="196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测试与加工费</w:t>
            </w:r>
          </w:p>
        </w:tc>
        <w:tc>
          <w:tcPr>
            <w:tcW w:type="dxa" w:w="163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6,000</w:t>
            </w:r>
          </w:p>
        </w:tc>
        <w:tc>
          <w:tcPr>
            <w:tcW w:type="dxa" w:w="425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结构件 3D 打印、电路板打样与贴片</w:t>
            </w:r>
          </w:p>
        </w:tc>
      </w:tr>
      <w:tr>
        <w:trPr>
          <w:cantSplit/>
        </w:trPr>
        <w:tc>
          <w:tcPr>
            <w:tcW w:type="dxa" w:w="87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</w:t>
            </w:r>
          </w:p>
        </w:tc>
        <w:tc>
          <w:tcPr>
            <w:tcW w:type="dxa" w:w="196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差旅与调研费</w:t>
            </w:r>
          </w:p>
        </w:tc>
        <w:tc>
          <w:tcPr>
            <w:tcW w:type="dxa" w:w="163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4,500</w:t>
            </w:r>
          </w:p>
        </w:tc>
        <w:tc>
          <w:tcPr>
            <w:tcW w:type="dxa" w:w="425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参加学术会议 2 次、企业调研 3 次</w:t>
            </w:r>
          </w:p>
        </w:tc>
      </w:tr>
      <w:tr>
        <w:trPr>
          <w:cantSplit/>
        </w:trPr>
        <w:tc>
          <w:tcPr>
            <w:tcW w:type="dxa" w:w="87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</w:t>
            </w:r>
          </w:p>
        </w:tc>
        <w:tc>
          <w:tcPr>
            <w:tcW w:type="dxa" w:w="196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文献与资料费</w:t>
            </w:r>
          </w:p>
        </w:tc>
        <w:tc>
          <w:tcPr>
            <w:tcW w:type="dxa" w:w="163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2,400</w:t>
            </w:r>
          </w:p>
        </w:tc>
        <w:tc>
          <w:tcPr>
            <w:tcW w:type="dxa" w:w="425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文献数据库检索、标准文本购置</w:t>
            </w:r>
          </w:p>
        </w:tc>
      </w:tr>
      <w:tr>
        <w:trPr>
          <w:cantSplit/>
        </w:trPr>
        <w:tc>
          <w:tcPr>
            <w:tcW w:type="dxa" w:w="87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</w:t>
            </w:r>
          </w:p>
        </w:tc>
        <w:tc>
          <w:tcPr>
            <w:tcW w:type="dxa" w:w="196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专家咨询费</w:t>
            </w:r>
          </w:p>
        </w:tc>
        <w:tc>
          <w:tcPr>
            <w:tcW w:type="dxa" w:w="163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2,100</w:t>
            </w:r>
          </w:p>
        </w:tc>
        <w:tc>
          <w:tcPr>
            <w:tcW w:type="dxa" w:w="425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邀请领域专家指导 3 次</w:t>
            </w:r>
          </w:p>
        </w:tc>
      </w:tr>
      <w:tr>
        <w:trPr>
          <w:cantSplit/>
        </w:trPr>
        <w:tc>
          <w:tcPr>
            <w:tcW w:type="dxa" w:w="87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6</w:t>
            </w:r>
          </w:p>
        </w:tc>
        <w:tc>
          <w:tcPr>
            <w:tcW w:type="dxa" w:w="196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其他支出</w:t>
            </w:r>
          </w:p>
        </w:tc>
        <w:tc>
          <w:tcPr>
            <w:tcW w:type="dxa" w:w="163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2,400</w:t>
            </w:r>
          </w:p>
        </w:tc>
        <w:tc>
          <w:tcPr>
            <w:tcW w:type="dxa" w:w="425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耗材、打印、成果印制</w:t>
            </w:r>
          </w:p>
        </w:tc>
      </w:tr>
      <w:tr>
        <w:trPr>
          <w:cantSplit/>
        </w:trPr>
        <w:tc>
          <w:tcPr>
            <w:tcW w:type="dxa" w:w="87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</w:r>
          </w:p>
        </w:tc>
        <w:tc>
          <w:tcPr>
            <w:tcW w:type="dxa" w:w="196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合　计</w:t>
            </w:r>
          </w:p>
        </w:tc>
        <w:tc>
          <w:tcPr>
            <w:tcW w:type="dxa" w:w="163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30,000</w:t>
            </w:r>
          </w:p>
        </w:tc>
        <w:tc>
          <w:tcPr>
            <w:tcW w:type="dxa" w:w="425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九、风险分析与应对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按发生概率与影响程度两个维度对项目风险做定位，落在右上象限的 R1 是唯一需要提前设计技术预案的风险项。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400000" cy="252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risk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0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8　项目风险矩阵（概率 × 影响）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6　主要风险的具体表现与应对措施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37"/>
        <w:gridCol w:w="3383"/>
        <w:gridCol w:w="3711"/>
      </w:tblGrid>
      <w:tr>
        <w:trPr>
          <w:tblHeader/>
          <w:cantSplit/>
        </w:trPr>
        <w:tc>
          <w:tcPr>
            <w:tcW w:type="dxa" w:w="1637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风险类型</w:t>
            </w:r>
          </w:p>
        </w:tc>
        <w:tc>
          <w:tcPr>
            <w:tcW w:type="dxa" w:w="3383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具体表现</w:t>
            </w:r>
          </w:p>
        </w:tc>
        <w:tc>
          <w:tcPr>
            <w:tcW w:type="dxa" w:w="3711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应对措施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技术风险</w:t>
            </w:r>
          </w:p>
        </w:tc>
        <w:tc>
          <w:tcPr>
            <w:tcW w:type="dxa" w:w="33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动态代价函数导致启发函数失效</w:t>
            </w:r>
          </w:p>
        </w:tc>
        <w:tc>
          <w:tcPr>
            <w:tcW w:type="dxa" w:w="371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保留降级开关，失效时回退经典 A*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设备风险</w:t>
            </w:r>
          </w:p>
        </w:tc>
        <w:tc>
          <w:tcPr>
            <w:tcW w:type="dxa" w:w="33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机载算力不足导致实时性不达标</w:t>
            </w:r>
          </w:p>
        </w:tc>
        <w:tc>
          <w:tcPr>
            <w:tcW w:type="dxa" w:w="371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算法侧做剪枝，必要时改用协处理器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进度风险</w:t>
            </w:r>
          </w:p>
        </w:tc>
        <w:tc>
          <w:tcPr>
            <w:tcW w:type="dxa" w:w="33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实机测试受场地与天气制约</w:t>
            </w:r>
          </w:p>
        </w:tc>
        <w:tc>
          <w:tcPr>
            <w:tcW w:type="dxa" w:w="371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室内动捕场优先，室外测试集中在暑期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成果风险</w:t>
            </w:r>
          </w:p>
        </w:tc>
        <w:tc>
          <w:tcPr>
            <w:tcW w:type="dxa" w:w="33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论文投稿周期不可控</w:t>
            </w:r>
          </w:p>
        </w:tc>
        <w:tc>
          <w:tcPr>
            <w:tcW w:type="dxa" w:w="371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同步准备会议论文作为备选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R1（启发函数失效）之所以被定位为高概率高影响，是因为这个问题在预研阶段已经出现过一次：早期版本的启发函数在引入时间维度后不再满足一致性，导致算法在部分场景下返回次优解，而表面上指标并未明显下降，问题被掩盖了近三周才通过单元测试发现。因此本项目在实现上保留了一个降级开关：一旦检测到启发函数违反一致性，自动回退到经典 A*，以性能换正确性。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十、参考文献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[1] Hart P E, Nilsson N J, Raphael B. A Formal Basis for the Heuristic Determination of Minimum Cost Paths[J]. IEEE Transactions on Systems Science and Cybernetics, 1968, 4(2): 100-107.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[2] Koenig S, Likhachev M. D* Lite[C]. Proceedings of the AAAI Conference on Artificial Intelligence, 2002: 476-483.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[3] Fox D, Burgard W, Thrun S. The Dynamic Window Approach to Collision Avoidance[J]. IEEE Robotics &amp; Automation Magazine, 1997, 4(1): 23-33.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[4] 王伟, 李强. 动态环境下移动机器人路径规划研究综述[J]. 自动化学报, 2023, 49(6): 1121-1138.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[5] 张涛, 陈明. 基于滚动时域的无人机避障规划方法[J]. 航空学报, 2024, 45(3): 328-341.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[6] Zhou X, Wang Y. Dynamic Path Planning for UAV in Uncertain Environments: A Survey[J]. IEEE Access, 2023, 11: 88214-88231.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[7] 刘洋, 赵磊. 改进 A* 算法在室内机器人导航中的应用[J]. 机器人, 2024, 46(2): 156-165.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[8] Schulman J, Ho J, Lee A, et al. Finding Locally Optimal, Collision-Free Trajectories with Sequential Convex Optimization[C]. Robotics: Science and Systems, 2013.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说明：以上文献为示例条目，格式遵循 GB/T 7714—2015。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十一、审核意见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31"/>
      </w:tblGrid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40" w:after="40"/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指导教师意见</w:t>
            </w:r>
          </w:p>
        </w:tc>
      </w:tr>
      <w:tr>
        <w:trPr>
          <w:trHeight w:val="1020" w:hRule="atLeast"/>
          <w:cantSplit/>
        </w:trPr>
        <w:tc>
          <w:tcPr>
            <w:tcW w:type="dxa" w:w="8731"/>
          </w:tcPr>
          <w:p>
            <w:pPr>
              <w:keepNext/>
              <w:keepLines/>
              <w:spacing w:before="0" w:after="0"/>
            </w:pPr>
          </w:p>
        </w:tc>
      </w:tr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80" w:after="80"/>
              <w:jc w:val="right"/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40" w:after="40"/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学院审核意见</w:t>
            </w:r>
          </w:p>
        </w:tc>
      </w:tr>
      <w:tr>
        <w:trPr>
          <w:trHeight w:val="1020" w:hRule="atLeast"/>
          <w:cantSplit/>
        </w:trPr>
        <w:tc>
          <w:tcPr>
            <w:tcW w:type="dxa" w:w="8731"/>
          </w:tcPr>
          <w:p>
            <w:pPr>
              <w:keepNext/>
              <w:keepLines/>
              <w:spacing w:before="0" w:after="0"/>
            </w:pPr>
          </w:p>
        </w:tc>
      </w:tr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80" w:after="80"/>
              <w:jc w:val="right"/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keepNext/>
              <w:keepLines/>
              <w:spacing w:before="40" w:after="40"/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学校评审意见</w:t>
            </w:r>
          </w:p>
        </w:tc>
      </w:tr>
      <w:tr>
        <w:trPr>
          <w:trHeight w:val="1020" w:hRule="atLeast"/>
          <w:cantSplit/>
        </w:trPr>
        <w:tc>
          <w:tcPr>
            <w:tcW w:type="dxa" w:w="8731"/>
          </w:tcPr>
          <w:p>
            <w:pPr>
              <w:keepNext/>
              <w:keepLines/>
              <w:spacing w:before="0" w:after="0"/>
            </w:pP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80" w:after="80"/>
              <w:jc w:val="right"/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6B7280"/>
        <w:sz w:val="18"/>
      </w:rPr>
      <w:t xml:space="preserve">第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PAGE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　共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NUMPAGES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