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六个学期的加权均分、专业排名与获奖情况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本学年八门核心课程的成绩与单科排名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代表性成果、本人排序与完成时间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