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校级大学生科研立项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申报书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面向校园场景的多目标跟踪算法研究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—— 基于改进 ByteTrack 的密集人群跟踪方法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项目负责人：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周　宁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指导教师：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吴海燕　副教授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所在学院：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计算机学院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申请经费：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1.00 万元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研究周期：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12 个月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一、立项依据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校园食堂、教学楼出入口等场景存在典型的密集人群跟踪需求，可用于人流统计、异常行为预警与疫情防控。但通用多目标跟踪算法在遮挡频繁、目标尺度差异大的场景下 ID Switch 率显著上升，难以直接落地。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检索相关文献 168 篇，精读 62 篇。研究集中在检测-跟踪联合优化、外观特征重识别与轨迹预测三个方向，其中「遮挡后的 ID 恢复」是公认难点。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39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it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3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文献主题分布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1.1 现有方法的不足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ByteTrack 的核心思路是把检测框按置信度分为高低两组，高分组用于建立轨迹，低分组用于补充匹配，从而在遮挡时保留轨迹连续性。这一设计在 MOT17 上取得了很好的效果，但它在校园密集人群场景下有两点不适应。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第一，它几乎完全依赖 IoU 做匹配。当人群密度高、目标相互遮挡时，相邻两帧的 IoU 可能因为检测框抖动而急剧下降，导致轨迹断裂。虽然 ByteTrack 引入了低分框补充，但补充的依据仍是 IoU，本质上没有引入外观信息来兜底。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第二，它对丢失轨迹的处理过于激进。轨迹连续若干帧未匹配即被删除，而校园场景中目标被立柱、人群遮挡十几帧是常态，删除后重新出现会被分配新 ID，直接导致 ID Switch 上升。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BoT-SORT 通过引入相机运动补偿与 ReID 特征部分缓解了第一个问题，但 ReID 分支带来的计算开销在边缘设备上难以承受，而本项目的目标平台正是校园现有的边缘盒子。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1.2 本项目的技术判断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综合三条路线的现状，本项目的判断是：在校园场景里，真正的瓶颈不是检测精度，而是「遮挡后的身份连续性」。检测器在 MOT17 上的 mAP 已经足够高，校园场景的光照与视角又比公开数据集友好，检测环节的边际收益很小。但一旦目标被立柱或人群遮挡十几帧，现有方法几乎必然丢失身份，重新出现时被当成新目标，ID Switch 直接翻倍。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因此本项目不去动检测器，只在关联环节做两件事：一是把匹配依据从纯 IoU 扩展为「IoU + 轻量外观特征」，二是把轨迹的删除策略从「连续 N 帧未匹配即删」改为「置信度衰减 + 延迟删除」。这两个改动的共同点是成本低——不需要额外训练大模型，也不需要 GPU 加速，适合部署在校园现有的边缘盒子上。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1.3 与已有工作的区别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需要说明本项目与 BoT-SORT 的区别，否则容易被认为只是「换个名字」。BoT-SORT 引入的是完整的 ReID 网络，特征维度 2048，单帧推理开销约 18 ms，在服务器上无所谓，在边缘盒子上就吃掉了一半预算。本项目用的是轻量外观分支，特征维度 128，开销约 3 ms，精度损失在 2 个百分点以内——这是明确的取舍，不是降级凑数。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另一处区别在轨迹管理。BoT-SORT 沿用「连续 N 帧未匹配即删」的策略，本项目改为置信度衰减：轨迹不立即删除，而是按未匹配帧数逐帧降低置信度，低于阈值才删。这样在被遮挡 10—20 帧的场景下，轨迹能保留下来，重新出现时直接续上，ID Switch 明显下降。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二、研究方案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在 ByteTrack 基础上引入两项改进：一是用轻量级外观特征分支替代纯 IoU 匹配，缓解遮挡后的 ID 跳变；二是设计轨迹置信度衰减机制，对长时间丢失的目标延迟删除而非立即丢弃。技术路线如下：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91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ch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技术路线图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评价指标采用 MOTA、IDF1 与 ID Switch 三项，在 MOT17 与自建校园数据集上与 ByteTrack、BoT-SORT 两个基线对比。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2.1 数据集与标注方案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自建数据集取自本校三个食堂出入口与两栋教学楼门厅，覆盖早中晚三个时段、晴天与雨天两种光照条件。采用半自动标注：先用现成模型预标注，再人工修正，平均每帧修正耗时约 40 秒，5000 帧总计约 55 小时。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标注规范参照 MOT Challenge 标准，保留 VISIBILITY 与 CLASS 两个附加字段，以便后续做遮挡程度分层分析。数据集将在结题后开源，供校内其他项目复用。</w:t>
      </w:r>
    </w:p>
    <w:p>
      <w:pPr>
        <w:keepNext/>
        <w:keepLines/>
        <w:spacing w:before="200" w:after="100" w:line="360" w:lineRule="auto"/>
      </w:pPr>
      <w:r>
        <w:rPr>
          <w:rFonts w:ascii="黑体" w:hAnsi="黑体" w:eastAsia="黑体"/>
          <w:b/>
          <w:color w:val="111827"/>
          <w:sz w:val="25"/>
        </w:rPr>
        <w:t>2.2 实验设计与评价口径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实验分为三组。第一组在 MOT17 公开数据集上跑基线，确认改进不损害通用性能；第二组在自建校园数据集上做主实验，对比 ByteTrack、BoT-SORT 与本方法；第三组做遮挡分层分析，按 VISIBILITY 字段把目标分为「完全可见 / 部分遮挡 / 严重遮挡」三层，分别统计 ID Switch，用来定位改进究竟在哪种条件下起作用。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评价口径遵循 MOT Challenge 官方脚本，不自行修改指标定义。需要说明的是，MOTA 对 ID Switch 不敏感，因此在校园场景下 IDF1 更能反映实际可用性，本项目以 IDF1 为主指标、MOTA 为辅助指标。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推理速度在 RK3588 开发板上实测，输入分辨率 1080p，批大小为 1。若单帧耗时超过 40 ms（25 FPS 的实时门槛），则触发模型剪枝方案，把外观特征分支的通道数减半。这一降级路径在立项时即写入方案，避免后期返工。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还有一个容易被忽略的工程细节：相机运动补偿。校园监控摄像头多数固定在墙面，但少数装在云台上会缓慢转动，这会让静止目标的检测框整体偏移，被误判为新目标。处理方式是对相邻帧做全局运动估计，把匹配前的检测框全部补偿回同一坐标系。这一步不复杂，但不做的话ID Switch 会莫名其妙地高，而且很难定位原因。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三、进度安排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8767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767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项目进度甘特图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八个任务的时间安排考虑了两个现实约束：一是学校的 GPU 资源需要排队申请，二是数据集标注需要招募人手。因此把「基线复现」安排在学期初（资源充足），把「数据集标注」安排在寒暑假（人手充足）。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 6 个月的中期检查是硬节点，届时需提交三项材料：基线算法在 MOT17 上的复现结果（需与论文报告值差距在 1 个点内）、自建数据集的统计报告（含类别分布与遮挡分层）、改进方案的初步验证数据（至少完成一组消融）。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四、预期成果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预期成果的内容与考核指标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767"/>
        <w:gridCol w:w="3846"/>
        <w:gridCol w:w="3118"/>
      </w:tblGrid>
      <w:tr>
        <w:trPr>
          <w:tblHeader/>
          <w:cantSplit/>
        </w:trPr>
        <w:tc>
          <w:tcPr>
            <w:tcW w:type="dxa" w:w="176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成果类型</w:t>
            </w:r>
          </w:p>
        </w:tc>
        <w:tc>
          <w:tcPr>
            <w:tcW w:type="dxa" w:w="384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内容</w:t>
            </w:r>
          </w:p>
        </w:tc>
        <w:tc>
          <w:tcPr>
            <w:tcW w:type="dxa" w:w="311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考核指标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学术论文</w:t>
            </w:r>
          </w:p>
        </w:tc>
        <w:tc>
          <w:tcPr>
            <w:tcW w:type="dxa" w:w="38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中文核心期刊或会议论文 1 篇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投稿或录用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软件成果</w:t>
            </w:r>
          </w:p>
        </w:tc>
        <w:tc>
          <w:tcPr>
            <w:tcW w:type="dxa" w:w="38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跟踪算法开源代码库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GitHub 公开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数据集</w:t>
            </w:r>
          </w:p>
        </w:tc>
        <w:tc>
          <w:tcPr>
            <w:tcW w:type="dxa" w:w="38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校园密集人群跟踪数据集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标注 5000 帧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学科竞赛</w:t>
            </w:r>
          </w:p>
        </w:tc>
        <w:tc>
          <w:tcPr>
            <w:tcW w:type="dxa" w:w="384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参加省级以上相关竞赛</w:t>
            </w:r>
          </w:p>
        </w:tc>
        <w:tc>
          <w:tcPr>
            <w:tcW w:type="dxa" w:w="311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获省级奖项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成果形式，需要说清楚两件事。第一，论文以「投稿」为最低标准、「录用」为目标标准，若最终未能录用，以开源代码库与数据集作为主要成果交付。第二，代码库需包含完整的训练脚本、评测脚本与预训练权重，确保他人能复现报告中的数字，而不只是「能跑起来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数据集的开源需要先完成脱敏——原始视频包含学生面部，发布前需对所有人脸做模糊处理，并只保留标注文件与模糊后的视频。这一环节已纳入进度安排（第 10 个月），不作为结题后的补充工作。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五、经费预算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07928" cy="251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928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4　经费预算结构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2　经费预算科目、金额与用途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183"/>
        <w:gridCol w:w="2183"/>
        <w:gridCol w:w="4365"/>
      </w:tblGrid>
      <w:tr>
        <w:trPr>
          <w:tblHeader/>
          <w:cantSplit/>
        </w:trPr>
        <w:tc>
          <w:tcPr>
            <w:tcW w:type="dxa" w:w="218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科目</w:t>
            </w:r>
          </w:p>
        </w:tc>
        <w:tc>
          <w:tcPr>
            <w:tcW w:type="dxa" w:w="218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金额（元）</w:t>
            </w:r>
          </w:p>
        </w:tc>
        <w:tc>
          <w:tcPr>
            <w:tcW w:type="dxa" w:w="436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设备费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5,200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GPU 服务器租用、摄像设备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材料费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1,600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存储硬盘、线材耗材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差旅费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1,800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参加学术会议 1 次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出版费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1,400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论文版面费</w:t>
            </w:r>
          </w:p>
        </w:tc>
      </w:tr>
      <w:tr>
        <w:trPr>
          <w:cantSplit/>
        </w:trPr>
        <w:tc>
          <w:tcPr>
            <w:tcW w:type="dxa" w:w="218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合计</w:t>
            </w:r>
          </w:p>
        </w:tc>
        <w:tc>
          <w:tcPr>
            <w:tcW w:type="dxa" w:w="2183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10,000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color w:val="111827"/>
                <w:sz w:val="21"/>
              </w:rPr>
              <w:t>—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六、研究基础与条件保障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本项目不是从零开始。大二下学期我在吴海燕老师课题组做过一个学期的科研训练，任务是复现一个公开的多目标跟踪基线。那次复现做得很不顺利：论文里写的超参数和开源代码不一致，我花了三周才把指标对齐。但也正是这三周，让我把检测、匹配、轨迹管理这条链路的每一环都拆开看过一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目前已经完成的预实验有三项。一是在 MOT17 上复现了 ByteTrack 与 OC-SORT 两个基线，记录了两者在拥挤场景下的ID Switch 差异；二是做了一组消融，确认外观特征在低帧率下贡献显著下降；三是搭好了评测脚本，能自动输出 MOTA、IDF1、ID Switch 与 HOTA 四项指标。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3　研究条件的现有情况与满足度评级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397"/>
        <w:gridCol w:w="5355"/>
        <w:gridCol w:w="1979"/>
      </w:tblGrid>
      <w:tr>
        <w:trPr>
          <w:tblHeader/>
          <w:cantSplit/>
        </w:trPr>
        <w:tc>
          <w:tcPr>
            <w:tcW w:type="dxa" w:w="139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条件</w:t>
            </w:r>
          </w:p>
        </w:tc>
        <w:tc>
          <w:tcPr>
            <w:tcW w:type="dxa" w:w="535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现有情况</w:t>
            </w:r>
          </w:p>
        </w:tc>
        <w:tc>
          <w:tcPr>
            <w:tcW w:type="dxa" w:w="1979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满足度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算力</w:t>
            </w:r>
          </w:p>
        </w:tc>
        <w:tc>
          <w:tcPr>
            <w:tcW w:type="dxa" w:w="535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课题组 GPU 服务器（A100 40G ×2），按项目排期使用</w:t>
            </w:r>
          </w:p>
        </w:tc>
        <w:tc>
          <w:tcPr>
            <w:tcW w:type="dxa" w:w="19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数据</w:t>
            </w:r>
          </w:p>
        </w:tc>
        <w:tc>
          <w:tcPr>
            <w:tcW w:type="dxa" w:w="535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MOT17 / MOT20 / DanceTrack 公开数据集；校园监控录像（已获授权，脱敏后使用）</w:t>
            </w:r>
          </w:p>
        </w:tc>
        <w:tc>
          <w:tcPr>
            <w:tcW w:type="dxa" w:w="19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代码基础</w:t>
            </w:r>
          </w:p>
        </w:tc>
        <w:tc>
          <w:tcPr>
            <w:tcW w:type="dxa" w:w="535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已有复现的 ByteTrack 代码与自建评测脚本</w:t>
            </w:r>
          </w:p>
        </w:tc>
        <w:tc>
          <w:tcPr>
            <w:tcW w:type="dxa" w:w="19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指导</w:t>
            </w:r>
          </w:p>
        </w:tc>
        <w:tc>
          <w:tcPr>
            <w:tcW w:type="dxa" w:w="535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吴海燕老师长期从事视频目标跟踪研究，近三年发表相关论文 6 篇</w:t>
            </w:r>
          </w:p>
        </w:tc>
        <w:tc>
          <w:tcPr>
            <w:tcW w:type="dxa" w:w="19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满足</w:t>
            </w:r>
          </w:p>
        </w:tc>
      </w:tr>
      <w:tr>
        <w:trPr>
          <w:cantSplit/>
        </w:trPr>
        <w:tc>
          <w:tcPr>
            <w:tcW w:type="dxa" w:w="1397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标注</w:t>
            </w:r>
          </w:p>
        </w:tc>
        <w:tc>
          <w:tcPr>
            <w:tcW w:type="dxa" w:w="535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校园数据需人工标注，使用 DarkLabel 半自动预标注 + 人工校对</w:t>
            </w:r>
          </w:p>
        </w:tc>
        <w:tc>
          <w:tcPr>
            <w:tcW w:type="dxa" w:w="197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基本满足，工作量偏大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标注是最大的隐性成本。我的估算是一分钟视频约需 25 分钟人工校对，计划标注 40 分钟校园片段，合计约 17 小时，由我和同组 2 名同学分摊，安排在寒假完成。为控制质量，我会先标 5 分钟作为一致性检验，两人交叉标注后计算 IoU 一致性，达标再继续。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七、风险预判与应对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科研项目写风险，容易变成写套话。我只写真正可能让项目失败的四条，并给出止损线。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4　主要风险的触发信号、影响与止损措施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746"/>
        <w:gridCol w:w="2837"/>
        <w:gridCol w:w="1637"/>
        <w:gridCol w:w="2510"/>
      </w:tblGrid>
      <w:tr>
        <w:trPr>
          <w:tblHeader/>
          <w:cantSplit/>
        </w:trPr>
        <w:tc>
          <w:tcPr>
            <w:tcW w:type="dxa" w:w="174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风险</w:t>
            </w:r>
          </w:p>
        </w:tc>
        <w:tc>
          <w:tcPr>
            <w:tcW w:type="dxa" w:w="283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触发信号</w:t>
            </w:r>
          </w:p>
        </w:tc>
        <w:tc>
          <w:tcPr>
            <w:tcW w:type="dxa" w:w="1637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影响</w:t>
            </w:r>
          </w:p>
        </w:tc>
        <w:tc>
          <w:tcPr>
            <w:tcW w:type="dxa" w:w="251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应对与止损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改进方法在公开基准上无效</w:t>
            </w:r>
          </w:p>
        </w:tc>
        <w:tc>
          <w:tcPr>
            <w:tcW w:type="dxa" w:w="28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 MOT17 上连续两版改进的 HOTA 均低于基线</w:t>
            </w:r>
          </w:p>
        </w:tc>
        <w:tc>
          <w:tcPr>
            <w:tcW w:type="dxa" w:w="16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核心创新点不成立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转向分析型贡献：给出失效条件的系统实验与解释，仍可形成合格结题报告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校园数据域差异过大</w:t>
            </w:r>
          </w:p>
        </w:tc>
        <w:tc>
          <w:tcPr>
            <w:tcW w:type="dxa" w:w="28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在校园数据上指标较公开数据集下降超过 15 个百分点</w:t>
            </w:r>
          </w:p>
        </w:tc>
        <w:tc>
          <w:tcPr>
            <w:tcW w:type="dxa" w:w="16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结论无法外推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增加域适应模块；若仍不达标，明确写入局限性，不夸大适用范围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标注进度延误</w:t>
            </w:r>
          </w:p>
        </w:tc>
        <w:tc>
          <w:tcPr>
            <w:tcW w:type="dxa" w:w="28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寒假结束标注完成率低于 60%</w:t>
            </w:r>
          </w:p>
        </w:tc>
        <w:tc>
          <w:tcPr>
            <w:tcW w:type="dxa" w:w="16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实验不充分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缩减至 20 分钟核心片段，优先保证主实验完整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算力排期冲突</w:t>
            </w:r>
          </w:p>
        </w:tc>
        <w:tc>
          <w:tcPr>
            <w:tcW w:type="dxa" w:w="28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关键实验前一周仍无法获得 GPU 时段</w:t>
            </w:r>
          </w:p>
        </w:tc>
        <w:tc>
          <w:tcPr>
            <w:tcW w:type="dxa" w:w="163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实验延期</w:t>
            </w:r>
          </w:p>
        </w:tc>
        <w:tc>
          <w:tcPr>
            <w:tcW w:type="dxa" w:w="251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改用小分辨率 + 单卡训练，牺牲部分精度换进度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四条里我最担心第一条。多目标跟踪这个方向已经被做得非常充分，想在一个学期里做出稳定提升不容易。所以我的策略是「先把失败条件测清楚」——如果改进在什么情况下有效、什么情况下失效能说清楚，这本身就是有价值的结论，而不是非要凑一个更高的数字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另外我会坚持一条自我约束：所有实验在同一套评测脚本下跑，不为了好看换指标口径；所有随机种子固定并记录；负结果也写进报告。这条约束是我在复现基线那次踩坑后定下的——当时因为换了评测设置，白高兴了一周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八、参考文献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文献检索说明：检索式以 multi-object tracking、data association、occlusion recovery 三组主题词组合，检得 168 篇，精读 62 篇。第 1、2、5、6 篇是关联环节的四条主要技术路线（纯 IoU、IoU + 相机补偿、强特征重识别、观测中心化），第 4 篇是 DeepSORT 的原始出处，第 3 篇给出评测基准与标注口径，第 7 篇是 MOTA / IDF1 指标的定义来源，第 8 篇用于确认边缘盒子接入既有监控系统的合规边界。正文中凡提到「已有工作」均指以上文献，不作泛称。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[1] Zhang Y, Sun P, Jiang Y, et al. ByteTrack: Multi-Object Tracking by Associating Every Detection Box[C]. Proceedings of the European Conference on Computer Vision (ECCV), 2022: 1-21.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[2] Aharon N, Orfaig R, Bobrovsky B Z. BoT-SORT: Robust Associations Multi-Pedestrian Tracking[J]. arXiv preprint arXiv:2206.14651, 2022.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[3] Milan A, Leal-Taixé L, Reid I, et al. MOT16: A Benchmark for Multi-Object Tracking[J]. arXiv preprint arXiv:1603.00831, 2016.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[4] Wojke N, Bewley A, Paulus D. Simple Online and Realtime Tracking with a Deep Association Metric[C]. Proceedings of the IEEE International Conference on Image Processing (ICIP), 2017: 3645-3649.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[5] Du Y, Zhao Z, Song Y, et al. StrongSORT: Make DeepSORT Great Again[J]. IEEE Transactions on Multimedia, 2023, 25: 8725-8737.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[6] Cao J, Pang J, Weng X, et al. Observation-Centric SORT: Rethinking SORT for Robust Multi-Object Tracking[C]. Proceedings of the IEEE/CVF Conference on Computer Vision and Pattern Recognition (CVPR), 2023: 9686-9696.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[7] Bernardin K, Stiefelhagen R. Evaluating Multiple Object Tracking Performance: The CLEAR MOT Metrics[J]. EURASIP Journal on Image and Video Processing, 2008, 2008: 246309.</w:t>
      </w:r>
    </w:p>
    <w:p>
      <w:pPr>
        <w:spacing w:before="0" w:after="120" w:lineRule="auto" w:line="360"/>
      </w:pPr>
      <w:r>
        <w:rPr>
          <w:rFonts w:ascii="宋体" w:hAnsi="宋体" w:eastAsia="宋体"/>
          <w:b w:val="0"/>
          <w:color w:val="111827"/>
          <w:sz w:val="21"/>
        </w:rPr>
        <w:t xml:space="preserve">　[8] 全国安全防范报警系统标准化技术委员会. 安全防范视频监控人脸识别系统技术要求：GB/T 31488—2015[S]. 北京: 中国标准出版社, 2015.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九、审核意见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指导教师意见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学校评审意见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