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单位经济模型决定这个生意能不能规模化复制。我们按一亩一次的完整作业周期拆开算：收入端是每亩每次 8 元的服务费，成本端包含飞手、折旧、耗材与数据处理四块，逐项口径与金额见表 1。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服务按作物生长周期分为四档，不同档位的采集频次与报告深度不同如表 2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万元（见图 3）（见表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-29.2%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项目分三阶段推进：产品定型、区域复制、跨区扩张。各阶段起止时间如图 5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（见表 5）。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453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453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智农巡田——多光谱无人机作物长势监测服务</dc:title>
  <dc:subject>创业训练项目申报书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