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200"/>
        <w:jc w:val="center"/>
      </w:pPr>
      <w:r>
        <w:rPr>
          <w:rFonts w:ascii="黑体" w:hAnsi="黑体" w:eastAsia="黑体"/>
          <w:b/>
          <w:color w:val="111827"/>
          <w:sz w:val="44"/>
        </w:rPr>
        <w:t>校级大学生科研立项</w:t>
      </w:r>
    </w:p>
    <w:p>
      <w:pPr>
        <w:spacing w:after="680"/>
        <w:jc w:val="center"/>
      </w:pPr>
      <w:r>
        <w:rPr>
          <w:rFonts w:ascii="黑体" w:hAnsi="黑体" w:eastAsia="黑体"/>
          <w:b/>
          <w:color w:val="111827"/>
          <w:sz w:val="52"/>
        </w:rPr>
        <w:t>申报书</w:t>
      </w:r>
    </w:p>
    <w:p>
      <w:pPr>
        <w:spacing w:after="160"/>
        <w:jc w:val="center"/>
      </w:pPr>
      <w:r>
        <w:rPr>
          <w:rFonts w:ascii="黑体" w:hAnsi="黑体" w:eastAsia="黑体"/>
          <w:b/>
          <w:color w:val="111827"/>
          <w:sz w:val="32"/>
        </w:rPr>
        <w:t>面向校园场景的多目标跟踪算法研究</w:t>
      </w:r>
    </w:p>
    <w:p>
      <w:pPr>
        <w:spacing w:after="1120"/>
        <w:jc w:val="center"/>
      </w:pPr>
      <w:r>
        <w:rPr>
          <w:rFonts w:ascii="宋体" w:hAnsi="宋体" w:eastAsia="宋体"/>
          <w:b w:val="0"/>
          <w:color w:val="6B7280"/>
          <w:sz w:val="24"/>
        </w:rPr>
        <w:t>—— 基于改进 ByteTrack 的密集人群跟踪方法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123"/>
      </w:tblGrid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项目负责人：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周　宁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指导教师：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吴海燕　副教授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所在学院：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计算机学院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申请经费：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1.00 万元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研究周期：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12 个月</w:t>
            </w:r>
          </w:p>
        </w:tc>
      </w:tr>
    </w:tbl>
    <w:p>
      <w:r>
        <w:br w:type="page"/>
      </w:r>
    </w:p>
    <w:p>
      <w:pPr>
        <w:keepNext/>
        <w:keepLines/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一、立项依据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校园食堂、教学楼出入口等场景存在典型的密集人群跟踪需求，可用于人流统计、异常行为预警与疫情防控。但通用多目标跟踪算法在遮挡频繁、目标尺度差异大的场景下 ID Switch 率显著上升，难以直接落地。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检索相关文献 168 篇，精读 62 篇。研究集中在检测-跟踪联合优化、外观特征重识别与轨迹预测三个方向，其中「遮挡后的 ID 恢复」是公认难点。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72000" cy="2239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litera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239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8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1　文献主题分布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1.3 现有方法的不足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ByteTrack 的核心思路是把检测框按置信度分为高低两组，高分组用于建立轨迹，低分组用于补充匹配，从而在遮挡时保留轨迹连续性。这一设计在 MOT17 上取得了很好的效果，但它在校园密集人群场景下有两点不适应。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第一，它几乎完全依赖 IoU 做匹配。当人群密度高、目标相互遮挡时，相邻两帧的 IoU 可能因为检测框抖动而急剧下降，导致轨迹断裂。虽然 ByteTrack 引入了低分框补充，但补充的依据仍是 IoU，本质上没有引入外观信息来兜底。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第二，它对丢失轨迹的处理过于激进。轨迹连续若干帧未匹配即被删除，而校园场景中目标被立柱、人群遮挡十几帧是常态，删除后重新出现会被分配新 ID，直接导致 ID Switch 上升。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BoT-SORT 通过引入相机运动补偿与 ReID 特征部分缓解了第一个问题，但 ReID 分支带来的计算开销在边缘设备上难以承受，而本项目的目标平台正是校园现有的边缘盒子。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1.4 本项目的技术判断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综合三条路线的现状，本项目的判断是：在校园场景里，真正的瓶颈不是检测精度，而是「遮挡后的身份连续性」。检测器在 MOT17 上的 mAP 已经足够高，校园场景的光照与视角又比公开数据集友好，检测环节的边际收益很小。但一旦目标被立柱或人群遮挡十几帧，现有方法几乎必然丢失身份，重新出现时被当成新目标，ID Switch 直接翻倍。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因此本项目不去动检测器，只在关联环节做两件事：一是把匹配依据从纯 IoU 扩展为「IoU + 轻量外观特征」，二是把轨迹的删除策略从「连续 N 帧未匹配即删」改为「置信度衰减 + 延迟删除」。这两个改动的共同点是成本低——不需要额外训练大模型，也不需要 GPU 加速，适合部署在校园现有的边缘盒子上。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1.5 与已有工作的区别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需要说明本项目与 BoT-SORT 的区别，否则容易被认为只是「换个名字」。BoT-SORT 引入的是完整的 ReID 网络，特征维度 2048，单帧推理开销约 18 ms，在服务器上无所谓，在边缘盒子上就吃掉了一半预算。本项目用的是轻量外观分支，特征维度 128，开销约 3 ms，精度损失在 2 个百分点以内——这是明确的取舍，不是降级凑数。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另一处区别在轨迹管理。BoT-SORT 沿用「连续 N 帧未匹配即删」的策略，本项目改为置信度衰减：轨迹不立即删除，而是按未匹配帧数逐帧降低置信度，低于阈值才删。这样在被遮挡 10—20 帧的场景下，轨迹能保留下来，重新出现时直接续上，ID Switch 明显下降。</w:t>
      </w:r>
    </w:p>
    <w:p>
      <w:pPr>
        <w:keepNext/>
        <w:keepLines/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二、研究方案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在 ByteTrack 基础上引入两项改进：一是用轻量级外观特征分支替代纯 IoU 匹配，缓解遮挡后的 ID 跳变；二是设计轨迹置信度衰减机制，对长时间丢失的目标延迟删除而非立即丢弃。技术路线如下：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72000" cy="219128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tech_road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191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8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2　技术路线图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评价指标采用 MOTA、IDF1 与 ID Switch 三项，在 MOT17 与自建校园数据集上与 ByteTrack、BoT-SORT 两个基线对比。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2.4 数据集与标注方案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自建数据集取自本校三个食堂出入口与两栋教学楼门厅，覆盖早中晚三个时段、晴天与雨天两种光照条件。采用半自动标注：先用现成模型预标注，再人工修正，平均每帧修正耗时约 40 秒，5000 帧总计约 55 小时。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标注规范参照 MOT Challenge 标准，保留 VISIBILITY 与 CLASS 两个附加字段，以便后续做遮挡程度分层分析。数据集将在结题后开源，供校内其他项目复用。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2.5 实验设计与评价口径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实验分为三组。第一组在 MOT17 公开数据集上跑基线，确认改进不损害通用性能；第二组在自建校园数据集上做主实验，对比 ByteTrack、BoT-SORT 与本方法；第三组做遮挡分层分析，按 VISIBILITY 字段把目标分为「完全可见 / 部分遮挡 / 严重遮挡」三层，分别统计 ID Switch，用来定位改进究竟在哪种条件下起作用。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评价口径遵循 MOT Challenge 官方脚本，不自行修改指标定义。需要说明的是，MOTA 对 ID Switch 不敏感，因此在校园场景下 IDF1 更能反映实际可用性，本项目以 IDF1 为主指标、MOTA 为辅助指标。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推理速度在 RK3588 开发板上实测，输入分辨率 1080p，批大小为 1。若单帧耗时超过 40 ms（25 FPS 的实时门槛），则触发模型剪枝方案，把外观特征分支的通道数减半。这一降级路径在立项时即写入方案，避免后期返工。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还有一个容易被忽略的工程细节：相机运动补偿。校园监控摄像头多数固定在墙面，但少数装在云台上会缓慢转动，这会让静止目标的检测框整体偏移，被误判为新目标。处理方式是对相邻帧做全局运动估计，把匹配前的检测框全部补偿回同一坐标系。这一步不复杂，但不做的话ID Switch 会莫名其妙地高，而且很难定位原因。</w:t>
      </w:r>
    </w:p>
    <w:p>
      <w:pPr>
        <w:keepNext/>
        <w:keepLines/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三、进度安排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48767" cy="252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ant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48767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8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3　项目进度甘特图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八个任务的时间安排考虑了两个现实约束：一是学校的 GPU 资源需要排队申请，二是数据集标注需要招募人手。因此把「基线复现」安排在学期初（资源充足），把「数据集标注」安排在寒暑假（人手充足）。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 6 个月的中期检查是硬节点，届时需提交三项材料：基线算法在 MOT17 上的复现结果（需与论文报告值差距在 1 个点内）、自建数据集的统计报告（含类别分布与遮挡分层）、改进方案的初步验证数据（至少完成一组消融）。</w:t>
      </w:r>
    </w:p>
    <w:p>
      <w:pPr>
        <w:keepNext/>
        <w:keepLines/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四、预期成果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767"/>
        <w:gridCol w:w="3846"/>
        <w:gridCol w:w="3118"/>
      </w:tblGrid>
      <w:tr>
        <w:trPr>
          <w:tblHeader/>
          <w:cantSplit/>
        </w:trPr>
        <w:tc>
          <w:tcPr>
            <w:tcW w:type="dxa" w:w="1767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成果类型</w:t>
            </w:r>
          </w:p>
        </w:tc>
        <w:tc>
          <w:tcPr>
            <w:tcW w:type="dxa" w:w="3846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内容</w:t>
            </w:r>
          </w:p>
        </w:tc>
        <w:tc>
          <w:tcPr>
            <w:tcW w:type="dxa" w:w="3118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考核指标</w:t>
            </w:r>
          </w:p>
        </w:tc>
      </w:tr>
      <w:tr>
        <w:trPr>
          <w:cantSplit/>
        </w:trPr>
        <w:tc>
          <w:tcPr>
            <w:tcW w:type="dxa" w:w="176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学术论文</w:t>
            </w:r>
          </w:p>
        </w:tc>
        <w:tc>
          <w:tcPr>
            <w:tcW w:type="dxa" w:w="384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中文核心期刊或会议论文 1 篇</w:t>
            </w:r>
          </w:p>
        </w:tc>
        <w:tc>
          <w:tcPr>
            <w:tcW w:type="dxa" w:w="311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投稿或录用</w:t>
            </w:r>
          </w:p>
        </w:tc>
      </w:tr>
      <w:tr>
        <w:trPr>
          <w:cantSplit/>
        </w:trPr>
        <w:tc>
          <w:tcPr>
            <w:tcW w:type="dxa" w:w="176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软件成果</w:t>
            </w:r>
          </w:p>
        </w:tc>
        <w:tc>
          <w:tcPr>
            <w:tcW w:type="dxa" w:w="384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跟踪算法开源代码库</w:t>
            </w:r>
          </w:p>
        </w:tc>
        <w:tc>
          <w:tcPr>
            <w:tcW w:type="dxa" w:w="311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GitHub 公开</w:t>
            </w:r>
          </w:p>
        </w:tc>
      </w:tr>
      <w:tr>
        <w:trPr>
          <w:cantSplit/>
        </w:trPr>
        <w:tc>
          <w:tcPr>
            <w:tcW w:type="dxa" w:w="176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数据集</w:t>
            </w:r>
          </w:p>
        </w:tc>
        <w:tc>
          <w:tcPr>
            <w:tcW w:type="dxa" w:w="384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校园密集人群跟踪数据集</w:t>
            </w:r>
          </w:p>
        </w:tc>
        <w:tc>
          <w:tcPr>
            <w:tcW w:type="dxa" w:w="311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标注 5000 帧</w:t>
            </w:r>
          </w:p>
        </w:tc>
      </w:tr>
      <w:tr>
        <w:trPr>
          <w:cantSplit/>
        </w:trPr>
        <w:tc>
          <w:tcPr>
            <w:tcW w:type="dxa" w:w="176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学科竞赛</w:t>
            </w:r>
          </w:p>
        </w:tc>
        <w:tc>
          <w:tcPr>
            <w:tcW w:type="dxa" w:w="384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参加省级以上相关竞赛</w:t>
            </w:r>
          </w:p>
        </w:tc>
        <w:tc>
          <w:tcPr>
            <w:tcW w:type="dxa" w:w="311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获省级奖项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关于成果形式，需要说清楚两件事。第一，论文以「投稿」为最低标准、「录用」为目标标准，若最终未能录用，以开源代码库与数据集作为主要成果交付。第二，代码库需包含完整的训练脚本、评测脚本与预训练权重，确保他人能复现报告中的数字，而不只是「能跑起来」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数据集的开源需要先完成脱敏——原始视频包含学生面部，发布前需对所有人脸做模糊处理，并只保留标注文件与模糊后的视频。这一环节已纳入进度安排（第 10 个月），不作为结题后的补充工作。</w:t>
      </w:r>
    </w:p>
    <w:p>
      <w:pPr>
        <w:keepNext/>
        <w:keepLines/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五、经费预算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3707928" cy="25199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budge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07928" cy="25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8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4　经费预算结构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183"/>
        <w:gridCol w:w="2183"/>
        <w:gridCol w:w="4365"/>
      </w:tblGrid>
      <w:tr>
        <w:trPr>
          <w:tblHeader/>
          <w:cantSplit/>
        </w:trPr>
        <w:tc>
          <w:tcPr>
            <w:tcW w:type="dxa" w:w="2183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科目</w:t>
            </w:r>
          </w:p>
        </w:tc>
        <w:tc>
          <w:tcPr>
            <w:tcW w:type="dxa" w:w="2183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金额（元）</w:t>
            </w:r>
          </w:p>
        </w:tc>
        <w:tc>
          <w:tcPr>
            <w:tcW w:type="dxa" w:w="4365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用途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设备费</w:t>
            </w:r>
          </w:p>
        </w:tc>
        <w:tc>
          <w:tcPr>
            <w:tcW w:type="dxa" w:w="218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5,200</w:t>
            </w:r>
          </w:p>
        </w:tc>
        <w:tc>
          <w:tcPr>
            <w:tcW w:type="dxa" w:w="436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GPU 服务器租用、摄像设备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材料费</w:t>
            </w:r>
          </w:p>
        </w:tc>
        <w:tc>
          <w:tcPr>
            <w:tcW w:type="dxa" w:w="218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1,600</w:t>
            </w:r>
          </w:p>
        </w:tc>
        <w:tc>
          <w:tcPr>
            <w:tcW w:type="dxa" w:w="436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存储硬盘、线材耗材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差旅费</w:t>
            </w:r>
          </w:p>
        </w:tc>
        <w:tc>
          <w:tcPr>
            <w:tcW w:type="dxa" w:w="218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1,800</w:t>
            </w:r>
          </w:p>
        </w:tc>
        <w:tc>
          <w:tcPr>
            <w:tcW w:type="dxa" w:w="436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参加学术会议 1 次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出版费</w:t>
            </w:r>
          </w:p>
        </w:tc>
        <w:tc>
          <w:tcPr>
            <w:tcW w:type="dxa" w:w="218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1,400</w:t>
            </w:r>
          </w:p>
        </w:tc>
        <w:tc>
          <w:tcPr>
            <w:tcW w:type="dxa" w:w="436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论文版面费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/>
                <w:color w:val="111827"/>
                <w:sz w:val="21"/>
              </w:rPr>
              <w:t>合计</w:t>
            </w:r>
          </w:p>
        </w:tc>
        <w:tc>
          <w:tcPr>
            <w:tcW w:type="dxa" w:w="218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/>
                <w:color w:val="111827"/>
                <w:sz w:val="21"/>
              </w:rPr>
              <w:t>10,000</w:t>
            </w:r>
          </w:p>
        </w:tc>
        <w:tc>
          <w:tcPr>
            <w:tcW w:type="dxa" w:w="436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/>
                <w:color w:val="111827"/>
                <w:sz w:val="21"/>
              </w:rPr>
              <w:t>—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keepNext/>
        <w:keepLines/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六、研究基础与条件保障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本项目不是从零开始。大二下学期我在吴海燕老师课题组做过一个学期的科研训练，任务是复现一个公开的多目标跟踪基线。那次复现做得很不顺利：论文里写的超参数和开源代码不一致，我花了三周才把指标对齐。但也正是这三周，让我把检测、匹配、轨迹管理这条链路的每一环都拆开看过一遍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目前已经完成的预实验有三项。一是在 MOT17 上复现了 ByteTrack 与 OC-SORT 两个基线，记录了两者在拥挤场景下的ID Switch 差异；二是做了一组消融，确认外观特征在低帧率下贡献显著下降；三是搭好了评测脚本，能自动输出 MOTA、IDF1、ID Switch 与 HOTA 四项指标。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397"/>
        <w:gridCol w:w="5355"/>
        <w:gridCol w:w="1979"/>
      </w:tblGrid>
      <w:tr>
        <w:trPr>
          <w:tblHeader/>
          <w:cantSplit/>
        </w:trPr>
        <w:tc>
          <w:tcPr>
            <w:tcW w:type="dxa" w:w="1397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条件</w:t>
            </w:r>
          </w:p>
        </w:tc>
        <w:tc>
          <w:tcPr>
            <w:tcW w:type="dxa" w:w="5355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现有情况</w:t>
            </w:r>
          </w:p>
        </w:tc>
        <w:tc>
          <w:tcPr>
            <w:tcW w:type="dxa" w:w="1979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满足度</w:t>
            </w:r>
          </w:p>
        </w:tc>
      </w:tr>
      <w:tr>
        <w:trPr>
          <w:cantSplit/>
        </w:trPr>
        <w:tc>
          <w:tcPr>
            <w:tcW w:type="dxa" w:w="139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算力</w:t>
            </w:r>
          </w:p>
        </w:tc>
        <w:tc>
          <w:tcPr>
            <w:tcW w:type="dxa" w:w="535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课题组 GPU 服务器（A100 40G ×2），按项目排期使用</w:t>
            </w:r>
          </w:p>
        </w:tc>
        <w:tc>
          <w:tcPr>
            <w:tcW w:type="dxa" w:w="197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满足</w:t>
            </w:r>
          </w:p>
        </w:tc>
      </w:tr>
      <w:tr>
        <w:trPr>
          <w:cantSplit/>
        </w:trPr>
        <w:tc>
          <w:tcPr>
            <w:tcW w:type="dxa" w:w="139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</w:t>
            </w:r>
          </w:p>
        </w:tc>
        <w:tc>
          <w:tcPr>
            <w:tcW w:type="dxa" w:w="535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MOT17 / MOT20 / DanceTrack 公开数据集；校园监控录像（已获授权，脱敏后使用）</w:t>
            </w:r>
          </w:p>
        </w:tc>
        <w:tc>
          <w:tcPr>
            <w:tcW w:type="dxa" w:w="197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满足</w:t>
            </w:r>
          </w:p>
        </w:tc>
      </w:tr>
      <w:tr>
        <w:trPr>
          <w:cantSplit/>
        </w:trPr>
        <w:tc>
          <w:tcPr>
            <w:tcW w:type="dxa" w:w="139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代码基础</w:t>
            </w:r>
          </w:p>
        </w:tc>
        <w:tc>
          <w:tcPr>
            <w:tcW w:type="dxa" w:w="535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已有复现的 ByteTrack 代码与自建评测脚本</w:t>
            </w:r>
          </w:p>
        </w:tc>
        <w:tc>
          <w:tcPr>
            <w:tcW w:type="dxa" w:w="197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满足</w:t>
            </w:r>
          </w:p>
        </w:tc>
      </w:tr>
      <w:tr>
        <w:trPr>
          <w:cantSplit/>
        </w:trPr>
        <w:tc>
          <w:tcPr>
            <w:tcW w:type="dxa" w:w="139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指导</w:t>
            </w:r>
          </w:p>
        </w:tc>
        <w:tc>
          <w:tcPr>
            <w:tcW w:type="dxa" w:w="535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吴海燕老师长期从事视频目标跟踪研究，近三年发表相关论文 6 篇</w:t>
            </w:r>
          </w:p>
        </w:tc>
        <w:tc>
          <w:tcPr>
            <w:tcW w:type="dxa" w:w="197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满足</w:t>
            </w:r>
          </w:p>
        </w:tc>
      </w:tr>
      <w:tr>
        <w:trPr>
          <w:cantSplit/>
        </w:trPr>
        <w:tc>
          <w:tcPr>
            <w:tcW w:type="dxa" w:w="139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标注</w:t>
            </w:r>
          </w:p>
        </w:tc>
        <w:tc>
          <w:tcPr>
            <w:tcW w:type="dxa" w:w="535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校园数据需人工标注，使用 DarkLabel 半自动预标注 + 人工校对</w:t>
            </w:r>
          </w:p>
        </w:tc>
        <w:tc>
          <w:tcPr>
            <w:tcW w:type="dxa" w:w="197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基本满足，工作量偏大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标注是最大的隐性成本。我的估算是一分钟视频约需 25 分钟人工校对，计划标注 40 分钟校园片段，合计约 17 小时，由我和同组 2 名同学分摊，安排在寒假完成。为控制质量，我会先标 5 分钟作为一致性检验，两人交叉标注后计算 IoU 一致性，达标再继续。</w:t>
      </w:r>
    </w:p>
    <w:p>
      <w:pPr>
        <w:keepNext/>
        <w:keepLines/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七、风险预判与应对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科研项目写风险，容易变成写套话。我只写真正可能让项目失败的四条，并给出止损线。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746"/>
        <w:gridCol w:w="2837"/>
        <w:gridCol w:w="1637"/>
        <w:gridCol w:w="2510"/>
      </w:tblGrid>
      <w:tr>
        <w:trPr>
          <w:tblHeader/>
          <w:cantSplit/>
        </w:trPr>
        <w:tc>
          <w:tcPr>
            <w:tcW w:type="dxa" w:w="1746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风险</w:t>
            </w:r>
          </w:p>
        </w:tc>
        <w:tc>
          <w:tcPr>
            <w:tcW w:type="dxa" w:w="2837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触发信号</w:t>
            </w:r>
          </w:p>
        </w:tc>
        <w:tc>
          <w:tcPr>
            <w:tcW w:type="dxa" w:w="1637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影响</w:t>
            </w:r>
          </w:p>
        </w:tc>
        <w:tc>
          <w:tcPr>
            <w:tcW w:type="dxa" w:w="2510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应对与止损</w:t>
            </w:r>
          </w:p>
        </w:tc>
      </w:tr>
      <w:tr>
        <w:trPr>
          <w:cantSplit/>
        </w:trPr>
        <w:tc>
          <w:tcPr>
            <w:tcW w:type="dxa" w:w="1746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改进方法在公开基准上无效</w:t>
            </w:r>
          </w:p>
        </w:tc>
        <w:tc>
          <w:tcPr>
            <w:tcW w:type="dxa" w:w="283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在 MOT17 上连续两版改进的 HOTA 均低于基线</w:t>
            </w:r>
          </w:p>
        </w:tc>
        <w:tc>
          <w:tcPr>
            <w:tcW w:type="dxa" w:w="163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核心创新点不成立</w:t>
            </w:r>
          </w:p>
        </w:tc>
        <w:tc>
          <w:tcPr>
            <w:tcW w:type="dxa" w:w="251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转向分析型贡献：给出失效条件的系统实验与解释，仍可形成合格结题报告</w:t>
            </w:r>
          </w:p>
        </w:tc>
      </w:tr>
      <w:tr>
        <w:trPr>
          <w:cantSplit/>
        </w:trPr>
        <w:tc>
          <w:tcPr>
            <w:tcW w:type="dxa" w:w="1746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校园数据域差异过大</w:t>
            </w:r>
          </w:p>
        </w:tc>
        <w:tc>
          <w:tcPr>
            <w:tcW w:type="dxa" w:w="283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在校园数据上指标较公开数据集下降超过 15 个百分点</w:t>
            </w:r>
          </w:p>
        </w:tc>
        <w:tc>
          <w:tcPr>
            <w:tcW w:type="dxa" w:w="163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结论无法外推</w:t>
            </w:r>
          </w:p>
        </w:tc>
        <w:tc>
          <w:tcPr>
            <w:tcW w:type="dxa" w:w="251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增加域适应模块；若仍不达标，明确写入局限性，不夸大适用范围</w:t>
            </w:r>
          </w:p>
        </w:tc>
      </w:tr>
      <w:tr>
        <w:trPr>
          <w:cantSplit/>
        </w:trPr>
        <w:tc>
          <w:tcPr>
            <w:tcW w:type="dxa" w:w="1746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标注进度延误</w:t>
            </w:r>
          </w:p>
        </w:tc>
        <w:tc>
          <w:tcPr>
            <w:tcW w:type="dxa" w:w="283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寒假结束标注完成率低于 60%</w:t>
            </w:r>
          </w:p>
        </w:tc>
        <w:tc>
          <w:tcPr>
            <w:tcW w:type="dxa" w:w="163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实验不充分</w:t>
            </w:r>
          </w:p>
        </w:tc>
        <w:tc>
          <w:tcPr>
            <w:tcW w:type="dxa" w:w="251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缩减至 20 分钟核心片段，优先保证主实验完整</w:t>
            </w:r>
          </w:p>
        </w:tc>
      </w:tr>
      <w:tr>
        <w:trPr>
          <w:cantSplit/>
        </w:trPr>
        <w:tc>
          <w:tcPr>
            <w:tcW w:type="dxa" w:w="1746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算力排期冲突</w:t>
            </w:r>
          </w:p>
        </w:tc>
        <w:tc>
          <w:tcPr>
            <w:tcW w:type="dxa" w:w="283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关键实验前一周仍无法获得 GPU 时段</w:t>
            </w:r>
          </w:p>
        </w:tc>
        <w:tc>
          <w:tcPr>
            <w:tcW w:type="dxa" w:w="163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实验延期</w:t>
            </w:r>
          </w:p>
        </w:tc>
        <w:tc>
          <w:tcPr>
            <w:tcW w:type="dxa" w:w="251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改用小分辨率 + 单卡训练，牺牲部分精度换进度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四条里我最担心第一条。多目标跟踪这个方向已经被做得非常充分，想在一个学期里做出稳定提升不容易。所以我的策略是「先把失败条件测清楚」——如果改进在什么情况下有效、什么情况下失效能说清楚，这本身就是有价值的结论，而不是非要凑一个更高的数字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另外我会坚持一条自我约束：所有实验在同一套评测脚本下跑，不为了好看换指标口径；所有随机种子固定并记录；负结果也写进报告。这条约束是我在复现基线那次踩坑后定下的——当时因为换了评测设置，白高兴了一周。</w:t>
      </w:r>
    </w:p>
    <w:p>
      <w:pPr>
        <w:keepNext/>
        <w:keepLines/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八、审核意见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731"/>
      </w:tblGrid>
      <w:tr>
        <w:trPr>
          <w:cantSplit/>
        </w:trPr>
        <w:tc>
          <w:tcPr>
            <w:tcW w:type="dxa" w:w="8731"/>
          </w:tcPr>
          <w:p>
            <w:pPr>
              <w:keepNext/>
              <w:keepLines/>
              <w:spacing w:before="40" w:after="40"/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指导教师意见</w:t>
            </w:r>
          </w:p>
        </w:tc>
      </w:tr>
      <w:tr>
        <w:trPr>
          <w:trHeight w:val="1020" w:hRule="atLeast"/>
          <w:cantSplit/>
        </w:trPr>
        <w:tc>
          <w:tcPr>
            <w:tcW w:type="dxa" w:w="8731"/>
          </w:tcPr>
          <w:p>
            <w:pPr>
              <w:keepNext/>
              <w:keepLines/>
              <w:spacing w:before="0" w:after="0"/>
            </w:pPr>
          </w:p>
        </w:tc>
      </w:tr>
      <w:tr>
        <w:trPr>
          <w:cantSplit/>
        </w:trPr>
        <w:tc>
          <w:tcPr>
            <w:tcW w:type="dxa" w:w="8731"/>
          </w:tcPr>
          <w:p>
            <w:pPr>
              <w:keepNext/>
              <w:keepLines/>
              <w:spacing w:before="80" w:after="80"/>
              <w:jc w:val="right"/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  <w:tr>
        <w:trPr>
          <w:cantSplit/>
        </w:trPr>
        <w:tc>
          <w:tcPr>
            <w:tcW w:type="dxa" w:w="8731"/>
          </w:tcPr>
          <w:p>
            <w:pPr>
              <w:keepNext/>
              <w:keepLines/>
              <w:spacing w:before="40" w:after="40"/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学院审核意见</w:t>
            </w:r>
          </w:p>
        </w:tc>
      </w:tr>
      <w:tr>
        <w:trPr>
          <w:trHeight w:val="1020" w:hRule="atLeast"/>
          <w:cantSplit/>
        </w:trPr>
        <w:tc>
          <w:tcPr>
            <w:tcW w:type="dxa" w:w="8731"/>
          </w:tcPr>
          <w:p>
            <w:pPr>
              <w:keepNext/>
              <w:keepLines/>
              <w:spacing w:before="0" w:after="0"/>
            </w:pPr>
          </w:p>
        </w:tc>
      </w:tr>
      <w:tr>
        <w:trPr>
          <w:cantSplit/>
        </w:trPr>
        <w:tc>
          <w:tcPr>
            <w:tcW w:type="dxa" w:w="8731"/>
          </w:tcPr>
          <w:p>
            <w:pPr>
              <w:keepNext/>
              <w:keepLines/>
              <w:spacing w:before="80" w:after="80"/>
              <w:jc w:val="right"/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  <w:tr>
        <w:trPr>
          <w:cantSplit/>
        </w:trPr>
        <w:tc>
          <w:tcPr>
            <w:tcW w:type="dxa" w:w="8731"/>
          </w:tcPr>
          <w:p>
            <w:pPr>
              <w:keepNext/>
              <w:keepLines/>
              <w:spacing w:before="40" w:after="40"/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学校评审意见</w:t>
            </w:r>
          </w:p>
        </w:tc>
      </w:tr>
      <w:tr>
        <w:trPr>
          <w:trHeight w:val="1020" w:hRule="atLeast"/>
          <w:cantSplit/>
        </w:trPr>
        <w:tc>
          <w:tcPr>
            <w:tcW w:type="dxa" w:w="8731"/>
          </w:tcPr>
          <w:p>
            <w:pPr>
              <w:keepNext/>
              <w:keepLines/>
              <w:spacing w:before="0" w:after="0"/>
            </w:pPr>
          </w:p>
        </w:tc>
      </w:tr>
      <w:tr>
        <w:trPr>
          <w:cantSplit/>
        </w:trPr>
        <w:tc>
          <w:tcPr>
            <w:tcW w:type="dxa" w:w="8731"/>
          </w:tcPr>
          <w:p>
            <w:pPr>
              <w:spacing w:before="80" w:after="80"/>
              <w:jc w:val="right"/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sectPr w:rsidR="00FC693F" w:rsidRPr="0006063C" w:rsidSect="00034616">
      <w:pgSz w:w="11906" w:h="16838"/>
      <w:pgMar w:top="1440" w:right="1474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