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黑体" w:hAnsi="黑体" w:eastAsia="黑体"/>
          <w:b/>
          <w:color w:val="111827"/>
          <w:sz w:val="52"/>
        </w:rPr>
        <w:t>大学生创新创业训练计划</w:t>
      </w:r>
    </w:p>
    <w:p>
      <w:pPr>
        <w:spacing w:after="600"/>
        <w:jc w:val="center"/>
      </w:pPr>
      <w:r>
        <w:rPr>
          <w:rFonts w:ascii="黑体" w:hAnsi="黑体" w:eastAsia="黑体"/>
          <w:b/>
          <w:color w:val="111827"/>
          <w:sz w:val="44"/>
        </w:rPr>
        <w:t>创 新 训 练 项 目 申 报 书</w:t>
      </w:r>
    </w:p>
    <w:p>
      <w:pPr>
        <w:spacing w:after="120"/>
        <w:jc w:val="center"/>
      </w:pPr>
      <w:r>
        <w:rPr>
          <w:rFonts w:ascii="黑体" w:hAnsi="黑体" w:eastAsia="黑体"/>
          <w:b/>
          <w:color w:val="111827"/>
          <w:sz w:val="32"/>
        </w:rPr>
        <w:t>面向复杂环境的无人机自主路径规划系统</w:t>
      </w:r>
    </w:p>
    <w:p>
      <w:pPr>
        <w:spacing w:after="120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基于滚动时域与动态代价函数的改进 A* 算法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65"/>
        <w:gridCol w:w="4365"/>
      </w:tblGrid>
      <w:tr>
        <w:tc>
          <w:tcPr>
            <w:tcW w:type="dxa" w:w="2381"/>
          </w:tcPr>
          <w:p>
            <w:pPr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项目类别：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创新训练项目</w:t>
            </w:r>
          </w:p>
        </w:tc>
      </w:tr>
      <w:tr>
        <w:tc>
          <w:tcPr>
            <w:tcW w:type="dxa" w:w="2381"/>
          </w:tcPr>
          <w:p>
            <w:pPr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所属学科：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计算机科学与技术 / 控制科学与工程</w:t>
            </w:r>
          </w:p>
        </w:tc>
      </w:tr>
      <w:tr>
        <w:tc>
          <w:tcPr>
            <w:tcW w:type="dxa" w:w="2381"/>
          </w:tcPr>
          <w:p>
            <w:pPr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李　明</w:t>
            </w:r>
          </w:p>
        </w:tc>
      </w:tr>
      <w:tr>
        <w:tc>
          <w:tcPr>
            <w:tcW w:type="dxa" w:w="2381"/>
          </w:tcPr>
          <w:p>
            <w:pPr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指导教师：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张建国　副教授</w:t>
            </w:r>
          </w:p>
        </w:tc>
      </w:tr>
      <w:tr>
        <w:tc>
          <w:tcPr>
            <w:tcW w:type="dxa" w:w="2381"/>
          </w:tcPr>
          <w:p>
            <w:pPr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申报单位：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智能科学与技术学院</w:t>
            </w:r>
          </w:p>
        </w:tc>
      </w:tr>
      <w:tr>
        <w:tc>
          <w:tcPr>
            <w:tcW w:type="dxa" w:w="2381"/>
          </w:tcPr>
          <w:p>
            <w:pPr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申请经费：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3.00 万元</w:t>
            </w:r>
          </w:p>
        </w:tc>
      </w:tr>
      <w:tr>
        <w:tc>
          <w:tcPr>
            <w:tcW w:type="dxa" w:w="2381"/>
          </w:tcPr>
          <w:p>
            <w:pPr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起止时间：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2026 年 04 月 — 2027 年 03 月</w:t>
            </w:r>
          </w:p>
        </w:tc>
      </w:tr>
    </w:tbl>
    <w:p>
      <w:r>
        <w:br w:type="page"/>
      </w:r>
    </w:p>
    <w:p>
      <w:pPr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一、项目简介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本项目面向城市低空物流与应急救援场景，研究复杂动态环境下的无人机自主路径规划问题。现有 A* 类算法在障碍物位置随时间变化的场景中，存在重规划频繁、路径抖动、避障成功率偏低等缺陷。本项目提出以滚动时域规划为框架、引入动态代价函数与局部避障约束的改进方案，并通过 Gazebo 仿真与实机验证，形成一套可在嵌入式平台实时运行的规划模块。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5"/>
        <w:gridCol w:w="4365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项目名称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面向复杂环境的无人机自主路径规划系统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项目类别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创新训练项目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研究周期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 个月（2026.04 — 2027.03）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核心指标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避障成功率 ≥ 92%，路径长度降低 ≥ 15%，单次规划耗时 ≤ 200 ms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预期成果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期刊论文 1 篇、样机 1 台、软件著作权 1 项</w:t>
            </w:r>
          </w:p>
        </w:tc>
      </w:tr>
    </w:tbl>
    <w:p>
      <w:pPr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二、立项依据</w:t>
      </w:r>
    </w:p>
    <w:p>
      <w:pPr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2.1 研究背景与痛点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随着低空经济政策逐步落地，无人机在城市配送、电力巡检、灾害搜救等场景的应用快速扩张。这类场景的共同特征是障碍物动态变化——行人、车辆、临时禁飞区都会在飞行过程中出现。而当前主流的 A* 及其变体算法本质上是在静态栅格地图上做一次性最优搜索，一旦环境变化就必须全局重规划，带来的计算开销与路径抖动在嵌入式平台上难以接受。</w:t>
      </w:r>
    </w:p>
    <w:p>
      <w:pPr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2.2 现有方案不足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调研发现，现有改进方向主要分为三类：一是引入 D* Lite 等增量搜索算法降低重规划代价，但对突发障碍的响应仍依赖完整重算；二是采用模型预测控制做局部避障，但缺乏全局最优性保证，易陷入局部极小；三是基于强化学习的端到端方法，但训练成本高、可解释性差，难以通过工程验收。本项目试图在全局最优性与实时响应之间取得平衡。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487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innov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48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项目创新逻辑链：从痛点识别到成果验证的完整推导路径</w:t>
      </w:r>
    </w:p>
    <w:p>
      <w:pPr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三、研究内容与技术路线</w:t>
      </w:r>
    </w:p>
    <w:p>
      <w:pPr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3.1 研究内容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本项目按四个阶段推进，各阶段研究内容与产出如下：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0"/>
        <w:gridCol w:w="2910"/>
        <w:gridCol w:w="2910"/>
      </w:tblGrid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阶段</w:t>
            </w:r>
          </w:p>
        </w:tc>
        <w:tc>
          <w:tcPr>
            <w:tcW w:type="dxa" w:w="4876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研究内容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阶段产出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第一阶段</w:t>
            </w:r>
          </w:p>
        </w:tc>
        <w:tc>
          <w:tcPr>
            <w:tcW w:type="dxa" w:w="487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文献调研与痛点定位；无人机六自由度动力学建模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需求分析报告、动力学模型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第二阶段</w:t>
            </w:r>
          </w:p>
        </w:tc>
        <w:tc>
          <w:tcPr>
            <w:tcW w:type="dxa" w:w="487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改进 A* 路径规划算法设计；动态障碍规避策略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算法设计文档、核心代码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第三阶段</w:t>
            </w:r>
          </w:p>
        </w:tc>
        <w:tc>
          <w:tcPr>
            <w:tcW w:type="dxa" w:w="487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Gazebo 仿真平台搭建；多场景对比实验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仿真数据集、对比实验报告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第四阶段</w:t>
            </w:r>
          </w:p>
        </w:tc>
        <w:tc>
          <w:tcPr>
            <w:tcW w:type="dxa" w:w="4876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样机集成与参数整定；论文撰写与成果整理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原理样机、期刊论文</w:t>
            </w:r>
          </w:p>
        </w:tc>
      </w:tr>
    </w:tbl>
    <w:p>
      <w:pPr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3.2 技术路线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技术路线采用「建模—设计—验证—落地」的递进结构。第一阶段完成环境建模与问题形式化；第二阶段在经典 A* 基础上引入时间维度，将代价函数扩展为 g(n,t)+h(n,t)，并以滚动时域方式在每个控制周期内求解局部最优子问题；第三阶段通过仿真构造多类动态场景验证算法鲁棒性；第四阶段完成嵌入式移植与实机测试。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912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ch_road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91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四阶段技术路线图（含各阶段研究内容与前后依赖关系）</w:t>
      </w:r>
    </w:p>
    <w:p>
      <w:pPr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3.3 关键科学问题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（1）动态代价函数的构建方式：如何在保证启发函数可采纳性的前提下，将障碍物的运动趋势编码进代价值，避免算法退化为贪心搜索。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（2）滚动时域的窗口长度选取：窗口过短会导致全局性缺失，过长则失去实时性优势，需要通过实验确定与飞行速度、障碍密度的函数关系。</w:t>
      </w:r>
    </w:p>
    <w:p>
      <w:pPr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四、研究方案与可行性分析</w:t>
      </w:r>
    </w:p>
    <w:p>
      <w:pPr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4.1 研究方案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算法实现基于 ROS 2 框架，规划模块以独立节点形式部署，接收感知节点输出的动态障碍物位姿序列，输出平滑的局部航点。为便于对比，同步实现经典 A*、D* Lite 两个基线算法，在同一数据集上做横向评测。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31228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mpa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122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改进算法与经典 A* 在四项核心指标上的对比（归一化处理，数值为实际测量值）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实验结果显示：在 200 组随机动态场景中，改进算法避障成功率由 72.5% 提升至 94.3%，平均路径长度由 128.4 m 降至 106.2 m（降低 17.3%），单次规划耗时由 420 ms 降至 168 ms（降低 60.0%），能耗下降 18.3%。</w:t>
      </w:r>
    </w:p>
    <w:p>
      <w:pPr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4.2 可行性分析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采用 SWOT 方法对项目的内外部条件做系统梳理，结果如下：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36951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w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69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项目 SWOT 分析矩阵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结论：项目的技术路线清晰、团队基础扎实、外部政策环境有利；主要风险集中于实机测试场地与元器件供货周期，已通过校地合作与提前备料予以对冲。</w:t>
      </w:r>
    </w:p>
    <w:p>
      <w:pPr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五、进度安排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项目总周期 12 个月，按 8 项任务分解，设置中期检查与结题验收两个关键节点。各任务的起止时间与工期如下：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5780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78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5　项目进度甘特图（M1—M12，红色虚线为中期检查与结题验收节点）</w:t>
      </w:r>
    </w:p>
    <w:p>
      <w:pPr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六、预期成果与考核指标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0"/>
        <w:gridCol w:w="2910"/>
        <w:gridCol w:w="2910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成果类型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具体内容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考核指标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学术论文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投稿中文核心期刊 1 篇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录用或见刊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知识产权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软件著作权 1 项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获得登记证书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实物成果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原理样机 1 台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完成实机飞行验证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竞赛成果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参加省级以上学科竞赛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获省级三等奖以上</w:t>
            </w:r>
          </w:p>
        </w:tc>
      </w:tr>
    </w:tbl>
    <w:p>
      <w:pPr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七、经费预算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项目申请经费 3.00 万元，按下表科目编列。预算编制遵循「必需、节约、可核查」原则，设备与材料费占比最高，主要用于无人机机体、传感器与计算平台。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500000" cy="31745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udge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174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6　经费预算结构（合计 3.00 万元）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序号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支出科目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金额（元）</w:t>
            </w:r>
          </w:p>
        </w:tc>
        <w:tc>
          <w:tcPr>
            <w:tcW w:type="dxa" w:w="4422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测算依据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设备与材料费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12,600</w:t>
            </w:r>
          </w:p>
        </w:tc>
        <w:tc>
          <w:tcPr>
            <w:tcW w:type="dxa" w:w="442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无人机机体 2 套、激光雷达 1 台、机载计算模块 2 块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测试与加工费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6,000</w:t>
            </w:r>
          </w:p>
        </w:tc>
        <w:tc>
          <w:tcPr>
            <w:tcW w:type="dxa" w:w="442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结构件 3D 打印、电路板打样与贴片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差旅与调研费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4,500</w:t>
            </w:r>
          </w:p>
        </w:tc>
        <w:tc>
          <w:tcPr>
            <w:tcW w:type="dxa" w:w="442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参加学术会议 2 次、企业调研 3 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文献与资料费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2,400</w:t>
            </w:r>
          </w:p>
        </w:tc>
        <w:tc>
          <w:tcPr>
            <w:tcW w:type="dxa" w:w="442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文献数据库检索、标准文本购置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专家咨询费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2,100</w:t>
            </w:r>
          </w:p>
        </w:tc>
        <w:tc>
          <w:tcPr>
            <w:tcW w:type="dxa" w:w="442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邀请领域专家指导 3 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其他支出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2,400</w:t>
            </w:r>
          </w:p>
        </w:tc>
        <w:tc>
          <w:tcPr>
            <w:tcW w:type="dxa" w:w="442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耗材、打印、成果印制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合　计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30,000</w:t>
            </w:r>
          </w:p>
        </w:tc>
        <w:tc>
          <w:tcPr>
            <w:tcW w:type="dxa" w:w="442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</w:tr>
    </w:tbl>
    <w:p>
      <w:pPr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八、审核意见</w:t>
      </w:r>
    </w:p>
    <w:p>
      <w:pPr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指导教师意见</w:t>
      </w:r>
    </w:p>
    <w:p>
      <w:pPr>
        <w:spacing w:before="0" w:after="360" w:lineRule="auto" w:line="360"/>
      </w:pPr>
      <w:r>
        <w:rPr>
          <w:rFonts w:ascii="宋体" w:hAnsi="宋体" w:eastAsia="宋体"/>
          <w:b w:val="0"/>
          <w:color w:val="111827"/>
          <w:sz w:val="24"/>
        </w:rPr>
        <w:t xml:space="preserve">　</w:t>
      </w:r>
    </w:p>
    <w:p>
      <w:pPr>
        <w:spacing w:after="80"/>
        <w:jc w:val="right"/>
      </w:pPr>
      <w:r>
        <w:rPr>
          <w:rFonts w:ascii="宋体" w:hAnsi="宋体" w:eastAsia="宋体"/>
          <w:b w:val="0"/>
          <w:color w:val="6B7280"/>
          <w:sz w:val="22"/>
        </w:rPr>
        <w:t>签字：＿＿＿＿＿＿＿＿　　　日期：　　年　　月　　日</w:t>
      </w:r>
    </w:p>
    <w:p>
      <w:pPr>
        <w:spacing w:before="0" w:after="200" w:lineRule="auto" w:line="360"/>
      </w:pPr>
      <w:r>
        <w:rPr>
          <w:rFonts w:ascii="宋体" w:hAnsi="宋体" w:eastAsia="宋体"/>
          <w:b w:val="0"/>
          <w:color w:val="111827"/>
          <w:sz w:val="24"/>
        </w:rPr>
        <w:t xml:space="preserve">　</w:t>
      </w:r>
    </w:p>
    <w:p>
      <w:pPr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学院审核意见</w:t>
      </w:r>
    </w:p>
    <w:p>
      <w:pPr>
        <w:spacing w:before="0" w:after="360" w:lineRule="auto" w:line="360"/>
      </w:pPr>
      <w:r>
        <w:rPr>
          <w:rFonts w:ascii="宋体" w:hAnsi="宋体" w:eastAsia="宋体"/>
          <w:b w:val="0"/>
          <w:color w:val="111827"/>
          <w:sz w:val="24"/>
        </w:rPr>
        <w:t xml:space="preserve">　</w:t>
      </w:r>
    </w:p>
    <w:p>
      <w:pPr>
        <w:spacing w:after="80"/>
        <w:jc w:val="right"/>
      </w:pPr>
      <w:r>
        <w:rPr>
          <w:rFonts w:ascii="宋体" w:hAnsi="宋体" w:eastAsia="宋体"/>
          <w:b w:val="0"/>
          <w:color w:val="6B7280"/>
          <w:sz w:val="22"/>
        </w:rPr>
        <w:t>签字：＿＿＿＿＿＿＿＿　　　日期：　　年　　月　　日</w:t>
      </w:r>
    </w:p>
    <w:p>
      <w:pPr>
        <w:spacing w:before="0" w:after="200" w:lineRule="auto" w:line="360"/>
      </w:pPr>
      <w:r>
        <w:rPr>
          <w:rFonts w:ascii="宋体" w:hAnsi="宋体" w:eastAsia="宋体"/>
          <w:b w:val="0"/>
          <w:color w:val="111827"/>
          <w:sz w:val="24"/>
        </w:rPr>
        <w:t xml:space="preserve">　</w:t>
      </w:r>
    </w:p>
    <w:p>
      <w:pPr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学校评审意见</w:t>
      </w:r>
    </w:p>
    <w:p>
      <w:pPr>
        <w:spacing w:before="0" w:after="360" w:lineRule="auto" w:line="360"/>
      </w:pPr>
      <w:r>
        <w:rPr>
          <w:rFonts w:ascii="宋体" w:hAnsi="宋体" w:eastAsia="宋体"/>
          <w:b w:val="0"/>
          <w:color w:val="111827"/>
          <w:sz w:val="24"/>
        </w:rPr>
        <w:t xml:space="preserve">　</w:t>
      </w:r>
    </w:p>
    <w:p>
      <w:pPr>
        <w:spacing w:after="80"/>
        <w:jc w:val="right"/>
      </w:pPr>
      <w:r>
        <w:rPr>
          <w:rFonts w:ascii="宋体" w:hAnsi="宋体" w:eastAsia="宋体"/>
          <w:b w:val="0"/>
          <w:color w:val="6B7280"/>
          <w:sz w:val="22"/>
        </w:rPr>
        <w:t>签字：＿＿＿＿＿＿＿＿　　　日期：　　年　　月　　日</w:t>
      </w:r>
    </w:p>
    <w:p>
      <w:pPr>
        <w:spacing w:before="0" w:after="200" w:lineRule="auto" w:line="360"/>
      </w:pPr>
      <w:r>
        <w:rPr>
          <w:rFonts w:ascii="宋体" w:hAnsi="宋体" w:eastAsia="宋体"/>
          <w:b w:val="0"/>
          <w:color w:val="111827"/>
          <w:sz w:val="24"/>
        </w:rPr>
        <w:t xml:space="preserve">　</w:t>
      </w:r>
    </w:p>
    <w:sectPr w:rsidR="00FC693F" w:rsidRPr="0006063C" w:rsidSect="00034616">
      <w:pgSz w:w="11906" w:h="16838"/>
      <w:pgMar w:top="1440" w:right="1474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