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280" w:after="14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280" w:after="14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w:t>
      </w:r>
    </w:p>
    <w:p>
      <w:pPr>
        <w:keepNext/>
        <w:keepLines/>
        <w:spacing w:before="160" w:after="6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10"/>
                    <a:stretch>
                      <a:fillRect/>
                    </a:stretch>
                  </pic:blipFill>
                  <pic:spPr>
                    <a:xfrm>
                      <a:off x="0" y="0"/>
                      <a:ext cx="5472000" cy="2239220"/>
                    </a:xfrm>
                    <a:prstGeom prst="rect"/>
                  </pic:spPr>
                </pic:pic>
              </a:graphicData>
            </a:graphic>
          </wp:inline>
        </w:drawing>
      </w:r>
    </w:p>
    <w:p>
      <w:pPr>
        <w:keepLines/>
        <w:spacing w:before="0" w:after="20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现有工作可归为三类：增量搜索类（D* Lite 等）降低重算代价但不解决突发障碍响应；局部控制类（MPC）实时性好但缺全局最优性；学习类方法泛化性与可解释性不足。本作品定位在第二类与第一类之间，兼顾全局性与实时性。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2.1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2.2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2.3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2.4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keepNext/>
        <w:keepLines/>
        <w:spacing w:before="280" w:after="14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作品按「建模—设计—验证—落地」四阶段推进，技术路线如下：</w:t>
      </w:r>
    </w:p>
    <w:p>
      <w:pPr>
        <w:keepNext/>
        <w:keepLines/>
        <w:spacing w:before="160" w:after="6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1"/>
                    <a:stretch>
                      <a:fillRect/>
                    </a:stretch>
                  </pic:blipFill>
                  <pic:spPr>
                    <a:xfrm>
                      <a:off x="0" y="0"/>
                      <a:ext cx="5472000" cy="2191281"/>
                    </a:xfrm>
                    <a:prstGeom prst="rect"/>
                  </pic:spPr>
                </pic:pic>
              </a:graphicData>
            </a:graphic>
          </wp:inline>
        </w:drawing>
      </w:r>
    </w:p>
    <w:p>
      <w:pPr>
        <w:keepLines/>
        <w:spacing w:before="0" w:after="20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w:t>
      </w:r>
    </w:p>
    <w:p>
      <w:pPr>
        <w:keepNext/>
        <w:keepLines/>
        <w:spacing w:before="160" w:after="6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2"/>
                    <a:stretch>
                      <a:fillRect/>
                    </a:stretch>
                  </pic:blipFill>
                  <pic:spPr>
                    <a:xfrm>
                      <a:off x="0" y="0"/>
                      <a:ext cx="5472000" cy="1487700"/>
                    </a:xfrm>
                    <a:prstGeom prst="rect"/>
                  </pic:spPr>
                </pic:pic>
              </a:graphicData>
            </a:graphic>
          </wp:inline>
        </w:drawing>
      </w:r>
    </w:p>
    <w:p>
      <w:pPr>
        <w:keepLines/>
        <w:spacing w:before="0" w:after="20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3.1 三项创新的具体内容</w:t>
      </w:r>
    </w:p>
    <w:p>
      <w:pPr>
        <w:spacing w:before="0" w:after="120" w:lineRule="auto" w:line="360"/>
        <w:ind w:firstLine="480"/>
      </w:pPr>
      <w:r>
        <w:rPr>
          <w:rFonts w:ascii="宋体" w:hAnsi="宋体" w:eastAsia="宋体"/>
          <w:b w:val="0"/>
          <w:color w:val="111827"/>
          <w:sz w:val="24"/>
        </w:rPr>
        <w:t>创新一：动态代价函数。把传统 A*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3.2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w:t>
      </w:r>
    </w:p>
    <w:p>
      <w:pPr>
        <w:keepNext/>
        <w:keepLines/>
        <w:spacing w:before="160" w:after="6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3"/>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3.3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3.4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w:t>
      </w:r>
    </w:p>
    <w:p>
      <w:pPr>
        <w:keepNext/>
        <w:keepLines/>
        <w:spacing w:before="120" w:after="40" w:line="288" w:lineRule="auto"/>
        <w:jc w:val="center"/>
      </w:pPr>
      <w:r>
        <w:rPr>
          <w:rFonts w:ascii="黑体" w:hAnsi="黑体" w:eastAsia="黑体"/>
          <w:b w:val="0"/>
          <w:color w:val="111827"/>
          <w:sz w:val="21"/>
        </w:rPr>
        <w:t>表 1　典型方案与作品在四个维度上的能力对比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keepNext/>
              <w:keepLines/>
              <w:spacing w:before="0" w:after="0"/>
              <w:jc w:val="center"/>
            </w:pPr>
            <w:r/>
            <w:r>
              <w:rPr>
                <w:rFonts w:ascii="黑体" w:hAnsi="黑体" w:eastAsia="黑体"/>
                <w:b/>
                <w:color w:val="111827"/>
                <w:sz w:val="21"/>
              </w:rPr>
              <w:t>方案</w:t>
            </w:r>
          </w:p>
        </w:tc>
        <w:tc>
          <w:tcPr>
            <w:tcW w:type="dxa" w:w="1367"/>
          </w:tcPr>
          <w:p>
            <w:pPr>
              <w:keepNext/>
              <w:keepLines/>
              <w:spacing w:before="0" w:after="0"/>
              <w:jc w:val="center"/>
            </w:pPr>
            <w:r/>
            <w:r>
              <w:rPr>
                <w:rFonts w:ascii="黑体" w:hAnsi="黑体" w:eastAsia="黑体"/>
                <w:b/>
                <w:color w:val="111827"/>
                <w:sz w:val="21"/>
              </w:rPr>
              <w:t>全局性</w:t>
            </w:r>
          </w:p>
        </w:tc>
        <w:tc>
          <w:tcPr>
            <w:tcW w:type="dxa" w:w="1683"/>
          </w:tcPr>
          <w:p>
            <w:pPr>
              <w:keepNext/>
              <w:keepLines/>
              <w:spacing w:before="0" w:after="0"/>
              <w:jc w:val="center"/>
            </w:pPr>
            <w:r/>
            <w:r>
              <w:rPr>
                <w:rFonts w:ascii="黑体" w:hAnsi="黑体" w:eastAsia="黑体"/>
                <w:b/>
                <w:color w:val="111827"/>
                <w:sz w:val="21"/>
              </w:rPr>
              <w:t>动态障碍</w:t>
            </w:r>
          </w:p>
        </w:tc>
        <w:tc>
          <w:tcPr>
            <w:tcW w:type="dxa" w:w="1683"/>
          </w:tcPr>
          <w:p>
            <w:pPr>
              <w:keepNext/>
              <w:keepLines/>
              <w:spacing w:before="0" w:after="0"/>
              <w:jc w:val="center"/>
            </w:pPr>
            <w:r/>
            <w:r>
              <w:rPr>
                <w:rFonts w:ascii="黑体" w:hAnsi="黑体" w:eastAsia="黑体"/>
                <w:b/>
                <w:color w:val="111827"/>
                <w:sz w:val="21"/>
              </w:rPr>
              <w:t>算力需求</w:t>
            </w:r>
          </w:p>
        </w:tc>
        <w:tc>
          <w:tcPr>
            <w:tcW w:type="dxa" w:w="2104"/>
          </w:tcPr>
          <w:p>
            <w:pPr>
              <w:keepNext/>
              <w:keepLines/>
              <w:spacing w:before="0" w:after="0"/>
              <w:jc w:val="center"/>
            </w:pPr>
            <w:r/>
            <w:r>
              <w:rPr>
                <w:rFonts w:ascii="黑体" w:hAnsi="黑体" w:eastAsia="黑体"/>
                <w:b/>
                <w:color w:val="111827"/>
                <w:sz w:val="21"/>
              </w:rPr>
              <w:t>本项目差异</w:t>
            </w:r>
          </w:p>
        </w:tc>
      </w:tr>
      <w:tr>
        <w:trPr>
          <w:cantSplit/>
        </w:trPr>
        <w:tc>
          <w:tcPr>
            <w:tcW w:type="dxa" w:w="1893"/>
          </w:tcPr>
          <w:p>
            <w:pPr>
              <w:keepNext/>
              <w:keepLines/>
              <w:spacing w:before="0" w:after="0" w:line="276" w:lineRule="auto"/>
            </w:pPr>
            <w:r/>
            <w:r>
              <w:rPr>
                <w:rFonts w:ascii="宋体" w:hAnsi="宋体" w:eastAsia="宋体"/>
                <w:b w:val="0"/>
                <w:color w:val="111827"/>
                <w:sz w:val="21"/>
              </w:rPr>
              <w:t>NavFn (nav2)</w:t>
            </w:r>
          </w:p>
        </w:tc>
        <w:tc>
          <w:tcPr>
            <w:tcW w:type="dxa" w:w="1367"/>
          </w:tcPr>
          <w:p>
            <w:pPr>
              <w:keepNext/>
              <w:keepLines/>
              <w:spacing w:before="0" w:after="0" w:line="276" w:lineRule="auto"/>
              <w:jc w:val="center"/>
            </w:pPr>
            <w:r/>
            <w:r>
              <w:rPr>
                <w:rFonts w:ascii="宋体" w:hAnsi="宋体" w:eastAsia="宋体"/>
                <w:b w:val="0"/>
                <w:color w:val="111827"/>
                <w:sz w:val="21"/>
              </w:rPr>
              <w:t>强</w:t>
            </w:r>
          </w:p>
        </w:tc>
        <w:tc>
          <w:tcPr>
            <w:tcW w:type="dxa" w:w="1683"/>
          </w:tcPr>
          <w:p>
            <w:pPr>
              <w:keepNext/>
              <w:keepLines/>
              <w:spacing w:before="0" w:after="0" w:line="276" w:lineRule="auto"/>
              <w:jc w:val="center"/>
            </w:pPr>
            <w:r/>
            <w:r>
              <w:rPr>
                <w:rFonts w:ascii="宋体" w:hAnsi="宋体" w:eastAsia="宋体"/>
                <w:b w:val="0"/>
                <w:color w:val="111827"/>
                <w:sz w:val="21"/>
              </w:rPr>
              <w:t>不支持</w:t>
            </w:r>
          </w:p>
        </w:tc>
        <w:tc>
          <w:tcPr>
            <w:tcW w:type="dxa" w:w="1683"/>
          </w:tcPr>
          <w:p>
            <w:pPr>
              <w:keepNext/>
              <w:keepLines/>
              <w:spacing w:before="0" w:after="0" w:line="276" w:lineRule="auto"/>
              <w:jc w:val="center"/>
            </w:pPr>
            <w:r/>
            <w:r>
              <w:rPr>
                <w:rFonts w:ascii="宋体" w:hAnsi="宋体" w:eastAsia="宋体"/>
                <w:b w:val="0"/>
                <w:color w:val="111827"/>
                <w:sz w:val="21"/>
              </w:rPr>
              <w:t>低</w:t>
            </w:r>
          </w:p>
        </w:tc>
        <w:tc>
          <w:tcPr>
            <w:tcW w:type="dxa" w:w="2104"/>
          </w:tcPr>
          <w:p>
            <w:pPr>
              <w:keepNext/>
              <w:keepLines/>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keepNext/>
              <w:keepLines/>
              <w:spacing w:before="0" w:after="0" w:line="276" w:lineRule="auto"/>
            </w:pPr>
            <w:r/>
            <w:r>
              <w:rPr>
                <w:rFonts w:ascii="宋体" w:hAnsi="宋体" w:eastAsia="宋体"/>
                <w:b w:val="0"/>
                <w:color w:val="111827"/>
                <w:sz w:val="21"/>
              </w:rPr>
              <w:t>EGO-Planner</w:t>
            </w:r>
          </w:p>
        </w:tc>
        <w:tc>
          <w:tcPr>
            <w:tcW w:type="dxa" w:w="1367"/>
          </w:tcPr>
          <w:p>
            <w:pPr>
              <w:keepNext/>
              <w:keepLines/>
              <w:spacing w:before="0" w:after="0" w:line="276" w:lineRule="auto"/>
              <w:jc w:val="center"/>
            </w:pPr>
            <w:r/>
            <w:r>
              <w:rPr>
                <w:rFonts w:ascii="宋体" w:hAnsi="宋体" w:eastAsia="宋体"/>
                <w:b w:val="0"/>
                <w:color w:val="111827"/>
                <w:sz w:val="21"/>
              </w:rPr>
              <w:t>弱</w:t>
            </w:r>
          </w:p>
        </w:tc>
        <w:tc>
          <w:tcPr>
            <w:tcW w:type="dxa" w:w="1683"/>
          </w:tcPr>
          <w:p>
            <w:pPr>
              <w:keepNext/>
              <w:keepLines/>
              <w:spacing w:before="0" w:after="0" w:line="276" w:lineRule="auto"/>
              <w:jc w:val="center"/>
            </w:pPr>
            <w:r/>
            <w:r>
              <w:rPr>
                <w:rFonts w:ascii="宋体" w:hAnsi="宋体" w:eastAsia="宋体"/>
                <w:b w:val="0"/>
                <w:color w:val="111827"/>
                <w:sz w:val="21"/>
              </w:rPr>
              <w:t>支持</w:t>
            </w:r>
          </w:p>
        </w:tc>
        <w:tc>
          <w:tcPr>
            <w:tcW w:type="dxa" w:w="1683"/>
          </w:tcPr>
          <w:p>
            <w:pPr>
              <w:keepNext/>
              <w:keepLines/>
              <w:spacing w:before="0" w:after="0" w:line="276" w:lineRule="auto"/>
              <w:jc w:val="center"/>
            </w:pPr>
            <w:r/>
            <w:r>
              <w:rPr>
                <w:rFonts w:ascii="宋体" w:hAnsi="宋体" w:eastAsia="宋体"/>
                <w:b w:val="0"/>
                <w:color w:val="111827"/>
                <w:sz w:val="21"/>
              </w:rPr>
              <w:t>中</w:t>
            </w:r>
          </w:p>
        </w:tc>
        <w:tc>
          <w:tcPr>
            <w:tcW w:type="dxa" w:w="2104"/>
          </w:tcPr>
          <w:p>
            <w:pPr>
              <w:keepNext/>
              <w:keepLines/>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keepNext/>
              <w:keepLines/>
              <w:spacing w:before="0" w:after="0" w:line="276" w:lineRule="auto"/>
            </w:pPr>
            <w:r/>
            <w:r>
              <w:rPr>
                <w:rFonts w:ascii="宋体" w:hAnsi="宋体" w:eastAsia="宋体"/>
                <w:b w:val="0"/>
                <w:color w:val="111827"/>
                <w:sz w:val="21"/>
              </w:rPr>
              <w:t>Fast-Planner</w:t>
            </w:r>
          </w:p>
        </w:tc>
        <w:tc>
          <w:tcPr>
            <w:tcW w:type="dxa" w:w="1367"/>
          </w:tcPr>
          <w:p>
            <w:pPr>
              <w:keepNext/>
              <w:keepLines/>
              <w:spacing w:before="0" w:after="0" w:line="276" w:lineRule="auto"/>
              <w:jc w:val="center"/>
            </w:pPr>
            <w:r/>
            <w:r>
              <w:rPr>
                <w:rFonts w:ascii="宋体" w:hAnsi="宋体" w:eastAsia="宋体"/>
                <w:b w:val="0"/>
                <w:color w:val="111827"/>
                <w:sz w:val="21"/>
              </w:rPr>
              <w:t>中</w:t>
            </w:r>
          </w:p>
        </w:tc>
        <w:tc>
          <w:tcPr>
            <w:tcW w:type="dxa" w:w="1683"/>
          </w:tcPr>
          <w:p>
            <w:pPr>
              <w:keepNext/>
              <w:keepLines/>
              <w:spacing w:before="0" w:after="0" w:line="276" w:lineRule="auto"/>
              <w:jc w:val="center"/>
            </w:pPr>
            <w:r/>
            <w:r>
              <w:rPr>
                <w:rFonts w:ascii="宋体" w:hAnsi="宋体" w:eastAsia="宋体"/>
                <w:b w:val="0"/>
                <w:color w:val="111827"/>
                <w:sz w:val="21"/>
              </w:rPr>
              <w:t>部分支持</w:t>
            </w:r>
          </w:p>
        </w:tc>
        <w:tc>
          <w:tcPr>
            <w:tcW w:type="dxa" w:w="1683"/>
          </w:tcPr>
          <w:p>
            <w:pPr>
              <w:keepNext/>
              <w:keepLines/>
              <w:spacing w:before="0" w:after="0" w:line="276" w:lineRule="auto"/>
              <w:jc w:val="center"/>
            </w:pPr>
            <w:r/>
            <w:r>
              <w:rPr>
                <w:rFonts w:ascii="宋体" w:hAnsi="宋体" w:eastAsia="宋体"/>
                <w:b w:val="0"/>
                <w:color w:val="111827"/>
                <w:sz w:val="21"/>
              </w:rPr>
              <w:t>中高</w:t>
            </w:r>
          </w:p>
        </w:tc>
        <w:tc>
          <w:tcPr>
            <w:tcW w:type="dxa" w:w="2104"/>
          </w:tcPr>
          <w:p>
            <w:pPr>
              <w:keepNext/>
              <w:keepLines/>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280" w:after="14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与本作品算法，四项核心指标结果如下：</w:t>
      </w:r>
    </w:p>
    <w:p>
      <w:pPr>
        <w:keepNext/>
        <w:keepLines/>
        <w:spacing w:before="160" w:after="6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4"/>
                    <a:stretch>
                      <a:fillRect/>
                    </a:stretch>
                  </pic:blipFill>
                  <pic:spPr>
                    <a:xfrm>
                      <a:off x="0" y="0"/>
                      <a:ext cx="4415709" cy="2519999"/>
                    </a:xfrm>
                    <a:prstGeom prst="rect"/>
                  </pic:spPr>
                </pic:pic>
              </a:graphicData>
            </a:graphic>
          </wp:inline>
        </w:drawing>
      </w:r>
    </w:p>
    <w:p>
      <w:pPr>
        <w:keepLines/>
        <w:spacing w:before="0" w:after="200"/>
        <w:jc w:val="center"/>
      </w:pPr>
      <w:r>
        <w:rPr>
          <w:rFonts w:ascii="宋体" w:hAnsi="宋体" w:eastAsia="宋体"/>
          <w:b w:val="0"/>
          <w:color w:val="6B7280"/>
          <w:sz w:val="21"/>
        </w:rPr>
        <w:t>图 5　三项算法在四项核心指标上的对比</w:t>
      </w:r>
    </w:p>
    <w:p>
      <w:pPr>
        <w:keepNext/>
        <w:keepLines/>
        <w:spacing w:before="120" w:after="40" w:line="288" w:lineRule="auto"/>
        <w:jc w:val="center"/>
      </w:pPr>
      <w:r>
        <w:rPr>
          <w:rFonts w:ascii="黑体" w:hAnsi="黑体" w:eastAsia="黑体"/>
          <w:b w:val="0"/>
          <w:color w:val="111827"/>
          <w:sz w:val="21"/>
        </w:rPr>
        <w:t>表 2　三种算法在统一测试集上的指标对比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keepNext/>
              <w:keepLines/>
              <w:spacing w:before="0" w:after="0"/>
              <w:jc w:val="center"/>
            </w:pPr>
            <w:r/>
            <w:r>
              <w:rPr>
                <w:rFonts w:ascii="黑体" w:hAnsi="黑体" w:eastAsia="黑体"/>
                <w:b/>
                <w:color w:val="111827"/>
                <w:sz w:val="21"/>
              </w:rPr>
              <w:t>指标</w:t>
            </w:r>
          </w:p>
        </w:tc>
        <w:tc>
          <w:tcPr>
            <w:tcW w:type="dxa" w:w="1953"/>
          </w:tcPr>
          <w:p>
            <w:pPr>
              <w:keepNext/>
              <w:keepLines/>
              <w:spacing w:before="0" w:after="0"/>
              <w:jc w:val="center"/>
            </w:pPr>
            <w:r/>
            <w:r>
              <w:rPr>
                <w:rFonts w:ascii="黑体" w:hAnsi="黑体" w:eastAsia="黑体"/>
                <w:b/>
                <w:color w:val="111827"/>
                <w:sz w:val="21"/>
              </w:rPr>
              <w:t>经典 A*</w:t>
            </w:r>
          </w:p>
        </w:tc>
        <w:tc>
          <w:tcPr>
            <w:tcW w:type="dxa" w:w="1953"/>
          </w:tcPr>
          <w:p>
            <w:pPr>
              <w:keepNext/>
              <w:keepLines/>
              <w:spacing w:before="0" w:after="0"/>
              <w:jc w:val="center"/>
            </w:pPr>
            <w:r/>
            <w:r>
              <w:rPr>
                <w:rFonts w:ascii="黑体" w:hAnsi="黑体" w:eastAsia="黑体"/>
                <w:b/>
                <w:color w:val="111827"/>
                <w:sz w:val="21"/>
              </w:rPr>
              <w:t>D* Lite</w:t>
            </w:r>
          </w:p>
        </w:tc>
        <w:tc>
          <w:tcPr>
            <w:tcW w:type="dxa" w:w="1953"/>
          </w:tcPr>
          <w:p>
            <w:pPr>
              <w:keepNext/>
              <w:keepLines/>
              <w:spacing w:before="0" w:after="0"/>
              <w:jc w:val="center"/>
            </w:pPr>
            <w:r/>
            <w:r>
              <w:rPr>
                <w:rFonts w:ascii="黑体" w:hAnsi="黑体" w:eastAsia="黑体"/>
                <w:b/>
                <w:color w:val="111827"/>
                <w:sz w:val="21"/>
              </w:rPr>
              <w:t>本作品</w:t>
            </w:r>
          </w:p>
        </w:tc>
      </w:tr>
      <w:tr>
        <w:trPr>
          <w:cantSplit/>
        </w:trPr>
        <w:tc>
          <w:tcPr>
            <w:tcW w:type="dxa" w:w="2872"/>
          </w:tcPr>
          <w:p>
            <w:pPr>
              <w:keepNext/>
              <w:keepLines/>
              <w:spacing w:before="0" w:after="0" w:line="276" w:lineRule="auto"/>
            </w:pPr>
            <w:r/>
            <w:r>
              <w:rPr>
                <w:rFonts w:ascii="宋体" w:hAnsi="宋体" w:eastAsia="宋体"/>
                <w:b w:val="0"/>
                <w:color w:val="111827"/>
                <w:sz w:val="21"/>
              </w:rPr>
              <w:t>路径长度（m）</w:t>
            </w:r>
          </w:p>
        </w:tc>
        <w:tc>
          <w:tcPr>
            <w:tcW w:type="dxa" w:w="1953"/>
          </w:tcPr>
          <w:p>
            <w:pPr>
              <w:keepNext/>
              <w:keepLines/>
              <w:spacing w:before="0" w:after="0" w:line="276" w:lineRule="auto"/>
              <w:jc w:val="center"/>
            </w:pPr>
            <w:r/>
            <w:r>
              <w:rPr>
                <w:rFonts w:ascii="宋体" w:hAnsi="宋体" w:eastAsia="宋体"/>
                <w:b w:val="0"/>
                <w:color w:val="111827"/>
                <w:sz w:val="21"/>
              </w:rPr>
              <w:t>128.4</w:t>
            </w:r>
          </w:p>
        </w:tc>
        <w:tc>
          <w:tcPr>
            <w:tcW w:type="dxa" w:w="1953"/>
          </w:tcPr>
          <w:p>
            <w:pPr>
              <w:keepNext/>
              <w:keepLines/>
              <w:spacing w:before="0" w:after="0" w:line="276" w:lineRule="auto"/>
              <w:jc w:val="center"/>
            </w:pPr>
            <w:r/>
            <w:r>
              <w:rPr>
                <w:rFonts w:ascii="宋体" w:hAnsi="宋体" w:eastAsia="宋体"/>
                <w:b w:val="0"/>
                <w:color w:val="111827"/>
                <w:sz w:val="21"/>
              </w:rPr>
              <w:t>119.7</w:t>
            </w:r>
          </w:p>
        </w:tc>
        <w:tc>
          <w:tcPr>
            <w:tcW w:type="dxa" w:w="1953"/>
          </w:tcPr>
          <w:p>
            <w:pPr>
              <w:keepNext/>
              <w:keepLines/>
              <w:spacing w:before="0" w:after="0" w:line="276" w:lineRule="auto"/>
              <w:jc w:val="center"/>
            </w:pPr>
            <w:r/>
            <w:r>
              <w:rPr>
                <w:rFonts w:ascii="宋体" w:hAnsi="宋体" w:eastAsia="宋体"/>
                <w:b w:val="0"/>
                <w:color w:val="111827"/>
                <w:sz w:val="21"/>
              </w:rPr>
              <w:t>106.2</w:t>
            </w:r>
          </w:p>
        </w:tc>
      </w:tr>
      <w:tr>
        <w:trPr>
          <w:cantSplit/>
        </w:trPr>
        <w:tc>
          <w:tcPr>
            <w:tcW w:type="dxa" w:w="2872"/>
          </w:tcPr>
          <w:p>
            <w:pPr>
              <w:keepNext/>
              <w:keepLines/>
              <w:spacing w:before="0" w:after="0" w:line="276" w:lineRule="auto"/>
            </w:pPr>
            <w:r/>
            <w:r>
              <w:rPr>
                <w:rFonts w:ascii="宋体" w:hAnsi="宋体" w:eastAsia="宋体"/>
                <w:b w:val="0"/>
                <w:color w:val="111827"/>
                <w:sz w:val="21"/>
              </w:rPr>
              <w:t>规划耗时（ms）</w:t>
            </w:r>
          </w:p>
        </w:tc>
        <w:tc>
          <w:tcPr>
            <w:tcW w:type="dxa" w:w="1953"/>
          </w:tcPr>
          <w:p>
            <w:pPr>
              <w:keepNext/>
              <w:keepLines/>
              <w:spacing w:before="0" w:after="0" w:line="276" w:lineRule="auto"/>
              <w:jc w:val="center"/>
            </w:pPr>
            <w:r/>
            <w:r>
              <w:rPr>
                <w:rFonts w:ascii="宋体" w:hAnsi="宋体" w:eastAsia="宋体"/>
                <w:b w:val="0"/>
                <w:color w:val="111827"/>
                <w:sz w:val="21"/>
              </w:rPr>
              <w:t>420</w:t>
            </w:r>
          </w:p>
        </w:tc>
        <w:tc>
          <w:tcPr>
            <w:tcW w:type="dxa" w:w="1953"/>
          </w:tcPr>
          <w:p>
            <w:pPr>
              <w:keepNext/>
              <w:keepLines/>
              <w:spacing w:before="0" w:after="0" w:line="276" w:lineRule="auto"/>
              <w:jc w:val="center"/>
            </w:pPr>
            <w:r/>
            <w:r>
              <w:rPr>
                <w:rFonts w:ascii="宋体" w:hAnsi="宋体" w:eastAsia="宋体"/>
                <w:b w:val="0"/>
                <w:color w:val="111827"/>
                <w:sz w:val="21"/>
              </w:rPr>
              <w:t>236</w:t>
            </w:r>
          </w:p>
        </w:tc>
        <w:tc>
          <w:tcPr>
            <w:tcW w:type="dxa" w:w="1953"/>
          </w:tcPr>
          <w:p>
            <w:pPr>
              <w:keepNext/>
              <w:keepLines/>
              <w:spacing w:before="0" w:after="0" w:line="276" w:lineRule="auto"/>
              <w:jc w:val="center"/>
            </w:pPr>
            <w:r/>
            <w:r>
              <w:rPr>
                <w:rFonts w:ascii="宋体" w:hAnsi="宋体" w:eastAsia="宋体"/>
                <w:b w:val="0"/>
                <w:color w:val="111827"/>
                <w:sz w:val="21"/>
              </w:rPr>
              <w:t>168</w:t>
            </w:r>
          </w:p>
        </w:tc>
      </w:tr>
      <w:tr>
        <w:trPr>
          <w:cantSplit/>
        </w:trPr>
        <w:tc>
          <w:tcPr>
            <w:tcW w:type="dxa" w:w="2872"/>
          </w:tcPr>
          <w:p>
            <w:pPr>
              <w:keepNext/>
              <w:keepLines/>
              <w:spacing w:before="0" w:after="0" w:line="276" w:lineRule="auto"/>
            </w:pPr>
            <w:r/>
            <w:r>
              <w:rPr>
                <w:rFonts w:ascii="宋体" w:hAnsi="宋体" w:eastAsia="宋体"/>
                <w:b w:val="0"/>
                <w:color w:val="111827"/>
                <w:sz w:val="21"/>
              </w:rPr>
              <w:t>避障成功率（%）</w:t>
            </w:r>
          </w:p>
        </w:tc>
        <w:tc>
          <w:tcPr>
            <w:tcW w:type="dxa" w:w="1953"/>
          </w:tcPr>
          <w:p>
            <w:pPr>
              <w:keepNext/>
              <w:keepLines/>
              <w:spacing w:before="0" w:after="0" w:line="276" w:lineRule="auto"/>
              <w:jc w:val="center"/>
            </w:pPr>
            <w:r/>
            <w:r>
              <w:rPr>
                <w:rFonts w:ascii="宋体" w:hAnsi="宋体" w:eastAsia="宋体"/>
                <w:b w:val="0"/>
                <w:color w:val="111827"/>
                <w:sz w:val="21"/>
              </w:rPr>
              <w:t>72.5</w:t>
            </w:r>
          </w:p>
        </w:tc>
        <w:tc>
          <w:tcPr>
            <w:tcW w:type="dxa" w:w="1953"/>
          </w:tcPr>
          <w:p>
            <w:pPr>
              <w:keepNext/>
              <w:keepLines/>
              <w:spacing w:before="0" w:after="0" w:line="276" w:lineRule="auto"/>
              <w:jc w:val="center"/>
            </w:pPr>
            <w:r/>
            <w:r>
              <w:rPr>
                <w:rFonts w:ascii="宋体" w:hAnsi="宋体" w:eastAsia="宋体"/>
                <w:b w:val="0"/>
                <w:color w:val="111827"/>
                <w:sz w:val="21"/>
              </w:rPr>
              <w:t>83.1</w:t>
            </w:r>
          </w:p>
        </w:tc>
        <w:tc>
          <w:tcPr>
            <w:tcW w:type="dxa" w:w="1953"/>
          </w:tcPr>
          <w:p>
            <w:pPr>
              <w:keepNext/>
              <w:keepLines/>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4.1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4.2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w:t>
      </w:r>
    </w:p>
    <w:p>
      <w:pPr>
        <w:keepNext/>
        <w:keepLines/>
        <w:spacing w:before="120" w:after="40" w:line="288" w:lineRule="auto"/>
        <w:jc w:val="center"/>
      </w:pPr>
      <w:r>
        <w:rPr>
          <w:rFonts w:ascii="黑体" w:hAnsi="黑体" w:eastAsia="黑体"/>
          <w:b w:val="0"/>
          <w:color w:val="111827"/>
          <w:sz w:val="21"/>
        </w:rPr>
        <w:t>表 3　分场景实机测试结果与失败归因</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keepNext/>
              <w:keepLines/>
              <w:spacing w:before="0" w:after="0"/>
              <w:jc w:val="center"/>
            </w:pPr>
            <w:r/>
            <w:r>
              <w:rPr>
                <w:rFonts w:ascii="黑体" w:hAnsi="黑体" w:eastAsia="黑体"/>
                <w:b/>
                <w:color w:val="111827"/>
                <w:sz w:val="21"/>
              </w:rPr>
              <w:t>场景</w:t>
            </w:r>
          </w:p>
        </w:tc>
        <w:tc>
          <w:tcPr>
            <w:tcW w:type="dxa" w:w="1746"/>
          </w:tcPr>
          <w:p>
            <w:pPr>
              <w:keepNext/>
              <w:keepLines/>
              <w:spacing w:before="0" w:after="0"/>
              <w:jc w:val="center"/>
            </w:pPr>
            <w:r/>
            <w:r>
              <w:rPr>
                <w:rFonts w:ascii="黑体" w:hAnsi="黑体" w:eastAsia="黑体"/>
                <w:b/>
                <w:color w:val="111827"/>
                <w:sz w:val="21"/>
              </w:rPr>
              <w:t>测试架次</w:t>
            </w:r>
          </w:p>
        </w:tc>
        <w:tc>
          <w:tcPr>
            <w:tcW w:type="dxa" w:w="1419"/>
          </w:tcPr>
          <w:p>
            <w:pPr>
              <w:keepNext/>
              <w:keepLines/>
              <w:spacing w:before="0" w:after="0"/>
              <w:jc w:val="center"/>
            </w:pPr>
            <w:r/>
            <w:r>
              <w:rPr>
                <w:rFonts w:ascii="黑体" w:hAnsi="黑体" w:eastAsia="黑体"/>
                <w:b/>
                <w:color w:val="111827"/>
                <w:sz w:val="21"/>
              </w:rPr>
              <w:t>成功</w:t>
            </w:r>
          </w:p>
        </w:tc>
        <w:tc>
          <w:tcPr>
            <w:tcW w:type="dxa" w:w="3274"/>
          </w:tcPr>
          <w:p>
            <w:pPr>
              <w:keepNext/>
              <w:keepLines/>
              <w:spacing w:before="0" w:after="0"/>
              <w:jc w:val="center"/>
            </w:pPr>
            <w:r/>
            <w:r>
              <w:rPr>
                <w:rFonts w:ascii="黑体" w:hAnsi="黑体" w:eastAsia="黑体"/>
                <w:b/>
                <w:color w:val="111827"/>
                <w:sz w:val="21"/>
              </w:rPr>
              <w:t>失败原因</w:t>
            </w:r>
          </w:p>
        </w:tc>
      </w:tr>
      <w:tr>
        <w:trPr>
          <w:cantSplit/>
        </w:trPr>
        <w:tc>
          <w:tcPr>
            <w:tcW w:type="dxa" w:w="2292"/>
          </w:tcPr>
          <w:p>
            <w:pPr>
              <w:keepNext/>
              <w:keepLines/>
              <w:spacing w:before="0" w:after="0" w:line="276" w:lineRule="auto"/>
            </w:pPr>
            <w:r/>
            <w:r>
              <w:rPr>
                <w:rFonts w:ascii="宋体" w:hAnsi="宋体" w:eastAsia="宋体"/>
                <w:b w:val="0"/>
                <w:color w:val="111827"/>
                <w:sz w:val="21"/>
              </w:rPr>
              <w:t>静态密集障碍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15</w:t>
            </w:r>
          </w:p>
        </w:tc>
        <w:tc>
          <w:tcPr>
            <w:tcW w:type="dxa" w:w="3274"/>
          </w:tcPr>
          <w:p>
            <w:pPr>
              <w:keepNext/>
              <w:keepLines/>
              <w:spacing w:before="0" w:after="0" w:line="276" w:lineRule="auto"/>
              <w:jc w:val="center"/>
            </w:pPr>
            <w:r/>
            <w:r>
              <w:rPr>
                <w:rFonts w:ascii="宋体" w:hAnsi="宋体" w:eastAsia="宋体"/>
                <w:b w:val="0"/>
                <w:color w:val="111827"/>
                <w:sz w:val="21"/>
              </w:rPr>
              <w:t>—</w:t>
            </w:r>
          </w:p>
        </w:tc>
      </w:tr>
      <w:tr>
        <w:trPr>
          <w:cantSplit/>
        </w:trPr>
        <w:tc>
          <w:tcPr>
            <w:tcW w:type="dxa" w:w="2292"/>
          </w:tcPr>
          <w:p>
            <w:pPr>
              <w:keepNext/>
              <w:keepLines/>
              <w:spacing w:before="0" w:after="0" w:line="276" w:lineRule="auto"/>
            </w:pPr>
            <w:r/>
            <w:r>
              <w:rPr>
                <w:rFonts w:ascii="宋体" w:hAnsi="宋体" w:eastAsia="宋体"/>
                <w:b w:val="0"/>
                <w:color w:val="111827"/>
                <w:sz w:val="21"/>
              </w:rPr>
              <w:t>匀速动态障碍</w:t>
            </w:r>
          </w:p>
        </w:tc>
        <w:tc>
          <w:tcPr>
            <w:tcW w:type="dxa" w:w="1746"/>
          </w:tcPr>
          <w:p>
            <w:pPr>
              <w:keepNext/>
              <w:keepLines/>
              <w:spacing w:before="0" w:after="0" w:line="276" w:lineRule="auto"/>
              <w:jc w:val="center"/>
            </w:pPr>
            <w:r/>
            <w:r>
              <w:rPr>
                <w:rFonts w:ascii="宋体" w:hAnsi="宋体" w:eastAsia="宋体"/>
                <w:b w:val="0"/>
                <w:color w:val="111827"/>
                <w:sz w:val="21"/>
              </w:rPr>
              <w:t>15</w:t>
            </w:r>
          </w:p>
        </w:tc>
        <w:tc>
          <w:tcPr>
            <w:tcW w:type="dxa" w:w="1419"/>
          </w:tcPr>
          <w:p>
            <w:pPr>
              <w:keepNext/>
              <w:keepLines/>
              <w:spacing w:before="0" w:after="0" w:line="276" w:lineRule="auto"/>
              <w:jc w:val="center"/>
            </w:pPr>
            <w:r/>
            <w:r>
              <w:rPr>
                <w:rFonts w:ascii="宋体" w:hAnsi="宋体" w:eastAsia="宋体"/>
                <w:b w:val="0"/>
                <w:color w:val="111827"/>
                <w:sz w:val="21"/>
              </w:rPr>
              <w:t>14</w:t>
            </w:r>
          </w:p>
        </w:tc>
        <w:tc>
          <w:tcPr>
            <w:tcW w:type="dxa" w:w="3274"/>
          </w:tcPr>
          <w:p>
            <w:pPr>
              <w:keepNext/>
              <w:keepLines/>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4.3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4.4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4.5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4.6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w:t>
      </w:r>
    </w:p>
    <w:p>
      <w:pPr>
        <w:keepNext/>
        <w:keepLines/>
        <w:spacing w:before="160" w:after="6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5"/>
                    <a:stretch>
                      <a:fillRect/>
                    </a:stretch>
                  </pic:blipFill>
                  <pic:spPr>
                    <a:xfrm>
                      <a:off x="0" y="0"/>
                      <a:ext cx="5214882" cy="2520000"/>
                    </a:xfrm>
                    <a:prstGeom prst="rect"/>
                  </pic:spPr>
                </pic:pic>
              </a:graphicData>
            </a:graphic>
          </wp:inline>
        </w:drawing>
      </w:r>
    </w:p>
    <w:p>
      <w:pPr>
        <w:keepLines/>
        <w:spacing w:before="0" w:after="20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w:t>
      </w:r>
    </w:p>
    <w:p>
      <w:pPr>
        <w:keepNext/>
        <w:keepLines/>
        <w:spacing w:before="160" w:after="6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6"/>
                    <a:stretch>
                      <a:fillRect/>
                    </a:stretch>
                  </pic:blipFill>
                  <pic:spPr>
                    <a:xfrm>
                      <a:off x="0" y="0"/>
                      <a:ext cx="4979352" cy="2520000"/>
                    </a:xfrm>
                    <a:prstGeom prst="rect"/>
                  </pic:spPr>
                </pic:pic>
              </a:graphicData>
            </a:graphic>
          </wp:inline>
        </w:drawing>
      </w:r>
    </w:p>
    <w:p>
      <w:pPr>
        <w:keepLines/>
        <w:spacing w:before="0" w:after="200"/>
        <w:jc w:val="center"/>
      </w:pPr>
      <w:r>
        <w:rPr>
          <w:rFonts w:ascii="宋体" w:hAnsi="宋体" w:eastAsia="宋体"/>
          <w:b w:val="0"/>
          <w:color w:val="6B7280"/>
          <w:sz w:val="21"/>
        </w:rPr>
        <w:t>图 7　逐项剥离消融实验：各模块对成功率的贡献</w:t>
      </w:r>
    </w:p>
    <w:p>
      <w:pPr>
        <w:keepNext/>
        <w:keepLines/>
        <w:spacing w:before="280" w:after="14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5.1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280" w:after="14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280" w:after="14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Zhou X, Wang Y. Dynamic Path Planning for UAV in Uncertain Environments: A Survey[J]. IEEE Access, 2023, 11: 88214-88231.</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王伟, 李强. 动态环境下移动机器人路径规划研究综述[J]. 自动化学报, 2023, 49(6): 1121-1138.</w:t>
      </w:r>
    </w:p>
    <w:p>
      <w:pPr>
        <w:spacing w:before="0" w:after="120" w:lineRule="auto" w:line="360"/>
      </w:pPr>
      <w:r>
        <w:rPr>
          <w:rFonts w:ascii="宋体" w:hAnsi="宋体" w:eastAsia="宋体"/>
          <w:b w:val="0"/>
          <w:color w:val="111827"/>
          <w:sz w:val="21"/>
        </w:rPr>
        <w:t xml:space="preserve">　[7] 张涛, 陈明. 基于滚动时域的无人机避障规划方法[J]. 航空学报, 2024, 45(3): 328-341.</w:t>
      </w:r>
    </w:p>
    <w:p>
      <w:pPr>
        <w:spacing w:before="0" w:after="120" w:lineRule="auto" w:line="360"/>
      </w:pPr>
      <w:r>
        <w:rPr>
          <w:rFonts w:ascii="宋体" w:hAnsi="宋体" w:eastAsia="宋体"/>
          <w:b w:val="0"/>
          <w:color w:val="111827"/>
          <w:sz w:val="21"/>
        </w:rPr>
        <w:t xml:space="preserve">　[8] 刘洋, 赵磊. 改进 A* 算法在室内机器人导航中的应用[J]. 机器人, 2024, 46(2): 156-165.</w:t>
      </w:r>
    </w:p>
    <w:p>
      <w:pPr>
        <w:spacing w:before="0" w:after="120" w:lineRule="auto" w:line="360"/>
      </w:pPr>
      <w:r>
        <w:rPr>
          <w:rFonts w:ascii="宋体" w:hAnsi="宋体" w:eastAsia="宋体"/>
          <w:b w:val="0"/>
          <w:color w:val="111827"/>
          <w:sz w:val="21"/>
        </w:rPr>
        <w:t xml:space="preserve">　说明：以上条目为示例，格式遵循 GB/T 7714—2015。</w:t>
      </w:r>
    </w:p>
    <w:p>
      <w:pPr>
        <w:keepNext/>
        <w:keepLines/>
        <w:spacing w:before="280" w:after="14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指导教师推荐意见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学院推荐意见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学校审核意见</w:t>
            </w:r>
          </w:p>
          <w:p>
            <w:pPr>
              <w:spacing w:before="0" w:after="0" w:line="1020"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