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而选择通道剪枝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篇。第 1、4 篇确定了骨干网络的选择，第 2 篇是剪枝方案的主要依据，第 3 篇用于说明本项目为何不采用蒸馏路线，第 5 篇作为精度上界的参照，第 6 篇提供了公开的垃圾图像数据基线，第 7、8 篇是分类口径的规范来源——项目里「四分类」的边界不是我们自己定的，而是照这两份文件执行。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