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黑体" w:hAnsi="黑体" w:eastAsia="黑体"/>
          <w:b/>
          <w:color w:val="111827"/>
          <w:sz w:val="44"/>
        </w:rPr>
        <w:t>国家留学基金管理委员会</w:t>
      </w:r>
    </w:p>
    <w:p>
      <w:pPr>
        <w:spacing w:after="680"/>
        <w:jc w:val="center"/>
      </w:pPr>
      <w:r>
        <w:rPr>
          <w:rFonts w:ascii="黑体" w:hAnsi="黑体" w:eastAsia="黑体"/>
          <w:b/>
          <w:color w:val="111827"/>
          <w:sz w:val="52"/>
        </w:rPr>
        <w:t>国家公派留学申请书</w:t>
      </w:r>
    </w:p>
    <w:p>
      <w:pPr>
        <w:spacing w:after="160"/>
        <w:jc w:val="center"/>
      </w:pPr>
      <w:r>
        <w:rPr>
          <w:rFonts w:ascii="黑体" w:hAnsi="黑体" w:eastAsia="黑体"/>
          <w:b/>
          <w:color w:val="111827"/>
          <w:sz w:val="32"/>
        </w:rPr>
        <w:t>国家公派硕士研究生留学申请书</w:t>
      </w:r>
    </w:p>
    <w:p>
      <w:pPr>
        <w:spacing w:after="1120"/>
        <w:jc w:val="center"/>
      </w:pPr>
      <w:r>
        <w:rPr>
          <w:rFonts w:ascii="宋体" w:hAnsi="宋体" w:eastAsia="宋体"/>
          <w:b w:val="0"/>
          <w:color w:val="6B7280"/>
          <w:sz w:val="24"/>
        </w:rPr>
        <w:t>申请类别：攻读硕士学位研究生　｜　申请国别：德国</w:t>
      </w:r>
    </w:p>
    <w:tbl>
      <w:tblPr>
        <w:tblW w:type="auto" w:w="0"/>
        <w:jc w:val="center"/>
        <w:tblLayout w:type="fixed"/>
        <w:tblLook w:firstColumn="1" w:firstRow="1" w:lastColumn="0" w:lastRow="0" w:noHBand="0" w:noVBand="1" w:val="04A0"/>
        <w:tblLayout w:type="fixed"/>
      </w:tblPr>
      <w:tblGrid>
        <w:gridCol w:w="2608"/>
        <w:gridCol w:w="6123"/>
      </w:tblGrid>
      <w:tr>
        <w:tc>
          <w:tcPr>
            <w:tcW w:type="dxa" w:w="2608"/>
          </w:tcPr>
          <w:p>
            <w:pPr>
              <w:spacing w:before="0" w:after="0"/>
              <w:jc w:val="right"/>
            </w:pPr>
            <w:r>
              <w:rPr>
                <w:rFonts w:ascii="宋体" w:hAnsi="宋体" w:eastAsia="宋体"/>
                <w:b w:val="0"/>
                <w:color w:val="111827"/>
                <w:sz w:val="24"/>
              </w:rPr>
              <w:t>申请人：</w:t>
            </w:r>
          </w:p>
        </w:tc>
        <w:tc>
          <w:tcPr>
            <w:tcW w:type="dxa" w:w="6123"/>
          </w:tcPr>
          <w:p>
            <w:pPr>
              <w:spacing w:before="0" w:after="0"/>
              <w:jc w:val="left"/>
            </w:pPr>
            <w:r>
              <w:rPr>
                <w:rFonts w:ascii="宋体" w:hAnsi="宋体" w:eastAsia="宋体"/>
                <w:b w:val="0"/>
                <w:color w:val="111827"/>
                <w:sz w:val="24"/>
              </w:rPr>
              <w:t>李　明</w:t>
            </w:r>
          </w:p>
        </w:tc>
      </w:tr>
      <w:tr>
        <w:tc>
          <w:tcPr>
            <w:tcW w:type="dxa" w:w="2608"/>
          </w:tcPr>
          <w:p>
            <w:pPr>
              <w:spacing w:before="0" w:after="0"/>
              <w:jc w:val="right"/>
            </w:pPr>
            <w:r>
              <w:rPr>
                <w:rFonts w:ascii="宋体" w:hAnsi="宋体" w:eastAsia="宋体"/>
                <w:b w:val="0"/>
                <w:color w:val="111827"/>
                <w:sz w:val="24"/>
              </w:rPr>
              <w:t>国内院校：</w:t>
            </w:r>
          </w:p>
        </w:tc>
        <w:tc>
          <w:tcPr>
            <w:tcW w:type="dxa" w:w="6123"/>
          </w:tcPr>
          <w:p>
            <w:pPr>
              <w:spacing w:before="0" w:after="0"/>
              <w:jc w:val="left"/>
            </w:pPr>
            <w:r>
              <w:rPr>
                <w:rFonts w:ascii="宋体" w:hAnsi="宋体" w:eastAsia="宋体"/>
                <w:b w:val="0"/>
                <w:color w:val="111827"/>
                <w:sz w:val="24"/>
              </w:rPr>
              <w:t>××大学 计算机科学与技术</w:t>
            </w:r>
          </w:p>
        </w:tc>
      </w:tr>
      <w:tr>
        <w:tc>
          <w:tcPr>
            <w:tcW w:type="dxa" w:w="2608"/>
          </w:tcPr>
          <w:p>
            <w:pPr>
              <w:spacing w:before="0" w:after="0"/>
              <w:jc w:val="right"/>
            </w:pPr>
            <w:r>
              <w:rPr>
                <w:rFonts w:ascii="宋体" w:hAnsi="宋体" w:eastAsia="宋体"/>
                <w:b w:val="0"/>
                <w:color w:val="111827"/>
                <w:sz w:val="24"/>
              </w:rPr>
              <w:t>申请院校：</w:t>
            </w:r>
          </w:p>
        </w:tc>
        <w:tc>
          <w:tcPr>
            <w:tcW w:type="dxa" w:w="6123"/>
          </w:tcPr>
          <w:p>
            <w:pPr>
              <w:spacing w:before="0" w:after="0"/>
              <w:jc w:val="left"/>
            </w:pPr>
            <w:r>
              <w:rPr>
                <w:rFonts w:ascii="宋体" w:hAnsi="宋体" w:eastAsia="宋体"/>
                <w:b w:val="0"/>
                <w:color w:val="111827"/>
                <w:sz w:val="24"/>
              </w:rPr>
              <w:t>××工业大学（TU9 成员）</w:t>
            </w:r>
          </w:p>
        </w:tc>
      </w:tr>
      <w:tr>
        <w:tc>
          <w:tcPr>
            <w:tcW w:type="dxa" w:w="2608"/>
          </w:tcPr>
          <w:p>
            <w:pPr>
              <w:spacing w:before="0" w:after="0"/>
              <w:jc w:val="right"/>
            </w:pPr>
            <w:r>
              <w:rPr>
                <w:rFonts w:ascii="宋体" w:hAnsi="宋体" w:eastAsia="宋体"/>
                <w:b w:val="0"/>
                <w:color w:val="111827"/>
                <w:sz w:val="24"/>
              </w:rPr>
              <w:t>申请专业：</w:t>
            </w:r>
          </w:p>
        </w:tc>
        <w:tc>
          <w:tcPr>
            <w:tcW w:type="dxa" w:w="6123"/>
          </w:tcPr>
          <w:p>
            <w:pPr>
              <w:spacing w:before="0" w:after="0"/>
              <w:jc w:val="left"/>
            </w:pPr>
            <w:r>
              <w:rPr>
                <w:rFonts w:ascii="宋体" w:hAnsi="宋体" w:eastAsia="宋体"/>
                <w:b w:val="0"/>
                <w:color w:val="111827"/>
                <w:sz w:val="24"/>
              </w:rPr>
              <w:t>机电一体化与机器人</w:t>
            </w:r>
          </w:p>
        </w:tc>
      </w:tr>
      <w:tr>
        <w:tc>
          <w:tcPr>
            <w:tcW w:type="dxa" w:w="2608"/>
          </w:tcPr>
          <w:p>
            <w:pPr>
              <w:spacing w:before="0" w:after="0"/>
              <w:jc w:val="right"/>
            </w:pPr>
            <w:r>
              <w:rPr>
                <w:rFonts w:ascii="宋体" w:hAnsi="宋体" w:eastAsia="宋体"/>
                <w:b w:val="0"/>
                <w:color w:val="111827"/>
                <w:sz w:val="24"/>
              </w:rPr>
              <w:t>外语水平：</w:t>
            </w:r>
          </w:p>
        </w:tc>
        <w:tc>
          <w:tcPr>
            <w:tcW w:type="dxa" w:w="6123"/>
          </w:tcPr>
          <w:p>
            <w:pPr>
              <w:spacing w:before="0" w:after="0"/>
              <w:jc w:val="left"/>
            </w:pPr>
            <w:r>
              <w:rPr>
                <w:rFonts w:ascii="宋体" w:hAnsi="宋体" w:eastAsia="宋体"/>
                <w:b w:val="0"/>
                <w:color w:val="111827"/>
                <w:sz w:val="24"/>
              </w:rPr>
              <w:t>雅思 7.0（R8.0 / L7.5 / W6.5 / S6.5）</w:t>
            </w:r>
          </w:p>
        </w:tc>
      </w:tr>
      <w:tr>
        <w:tc>
          <w:tcPr>
            <w:tcW w:type="dxa" w:w="2608"/>
          </w:tcPr>
          <w:p>
            <w:pPr>
              <w:spacing w:before="0" w:after="0"/>
              <w:jc w:val="right"/>
            </w:pPr>
            <w:r>
              <w:rPr>
                <w:rFonts w:ascii="宋体" w:hAnsi="宋体" w:eastAsia="宋体"/>
                <w:b w:val="0"/>
                <w:color w:val="111827"/>
                <w:sz w:val="24"/>
              </w:rPr>
              <w:t>留学期限：</w:t>
            </w:r>
          </w:p>
        </w:tc>
        <w:tc>
          <w:tcPr>
            <w:tcW w:type="dxa" w:w="6123"/>
          </w:tcPr>
          <w:p>
            <w:pPr>
              <w:spacing w:before="0" w:after="0"/>
              <w:jc w:val="left"/>
            </w:pPr>
            <w:r>
              <w:rPr>
                <w:rFonts w:ascii="宋体" w:hAnsi="宋体" w:eastAsia="宋体"/>
                <w:b w:val="0"/>
                <w:color w:val="111827"/>
                <w:sz w:val="24"/>
              </w:rPr>
              <w:t>24 个月（2027.10 — 2029.09）</w:t>
            </w:r>
          </w:p>
        </w:tc>
      </w:tr>
    </w:tbl>
    <w:p>
      <w:r>
        <w:br w:type="page"/>
      </w:r>
    </w:p>
    <w:p>
      <w:pPr>
        <w:keepNext/>
        <w:keepLines/>
        <w:spacing w:before="280" w:after="140" w:line="360" w:lineRule="auto"/>
      </w:pPr>
      <w:r>
        <w:rPr>
          <w:rFonts w:ascii="黑体" w:hAnsi="黑体" w:eastAsia="黑体"/>
          <w:b/>
          <w:color w:val="111827"/>
          <w:sz w:val="30"/>
        </w:rPr>
        <w:t>一、留学动机</w:t>
      </w:r>
    </w:p>
    <w:p>
      <w:pPr>
        <w:spacing w:before="0" w:after="120" w:lineRule="auto" w:line="360"/>
        <w:ind w:firstLine="480"/>
      </w:pPr>
      <w:r>
        <w:rPr>
          <w:rFonts w:ascii="宋体" w:hAnsi="宋体" w:eastAsia="宋体"/>
          <w:b w:val="0"/>
          <w:color w:val="111827"/>
          <w:sz w:val="24"/>
        </w:rPr>
        <w:t>本科阶段我从事无人机动态环境路径规划研究，在实机测试中反复遇到一个问题：算法在仿真中表现良好，一旦上机就因感知延迟与执行误差而失效。这个落差暴露出我在「感知—决策—执行」闭环的系统性训练上的不足。</w:t>
      </w:r>
    </w:p>
    <w:p>
      <w:pPr>
        <w:spacing w:before="0" w:after="120" w:lineRule="auto" w:line="360"/>
        <w:ind w:firstLine="480"/>
      </w:pPr>
      <w:r>
        <w:rPr>
          <w:rFonts w:ascii="宋体" w:hAnsi="宋体" w:eastAsia="宋体"/>
          <w:b w:val="0"/>
          <w:color w:val="111827"/>
          <w:sz w:val="24"/>
        </w:rPr>
        <w:t>德国在机电一体化与移动机器人领域拥有完整的产学研体系，××工业大学的机器人与嵌入式系统方向与我的研究兴趣高度契合，其实验室长期与工业界合作，具备我目前最缺乏的整机验证条件。</w:t>
      </w:r>
    </w:p>
    <w:p>
      <w:pPr>
        <w:spacing w:before="0" w:after="120" w:lineRule="auto" w:line="360"/>
        <w:ind w:firstLine="480"/>
      </w:pPr>
      <w:r>
        <w:rPr>
          <w:rFonts w:ascii="宋体" w:hAnsi="宋体" w:eastAsia="宋体"/>
          <w:b w:val="0"/>
          <w:color w:val="111827"/>
          <w:sz w:val="24"/>
        </w:rPr>
        <w:t>举一个具体的例子。我在实机上测试时，算法在仿真中避障成功率 94.3%，上机后掉到 91.2%。差的那三个百分点，我花了两个月才定位到原因：不是算法错了，是感知延迟导致规划器拿到的是 80 毫秒前的世界状态，而飞机已经飞出去 0.6 米。这个补偿项在任何一篇我读过的论文里都没有写。</w:t>
      </w:r>
    </w:p>
    <w:p>
      <w:pPr>
        <w:spacing w:before="0" w:after="120" w:lineRule="auto" w:line="360"/>
        <w:ind w:firstLine="480"/>
      </w:pPr>
      <w:r>
        <w:rPr>
          <w:rFonts w:ascii="宋体" w:hAnsi="宋体" w:eastAsia="宋体"/>
          <w:b w:val="0"/>
          <w:color w:val="111827"/>
          <w:sz w:val="24"/>
        </w:rPr>
        <w:t>这件事让我意识到，我缺的不是算法知识，是系统级工程的训练。国内本科生阶段很少有完整的「感知—决策—执行」闭环项目，而德国的机电一体化与机器人专业，恰恰是从整机系统出发做教学的。这是我最想去的原因。</w:t>
      </w:r>
    </w:p>
    <w:p>
      <w:pPr>
        <w:spacing w:before="0" w:after="120" w:lineRule="auto" w:line="360"/>
        <w:ind w:firstLine="480"/>
      </w:pPr>
      <w:r>
        <w:rPr>
          <w:rFonts w:ascii="宋体" w:hAnsi="宋体" w:eastAsia="宋体"/>
          <w:b w:val="0"/>
          <w:color w:val="111827"/>
          <w:sz w:val="24"/>
        </w:rPr>
        <w:t>除了那 3 个百分点，还有一个更根本的差距。我读过的大多数论文，实验部分写得很漂亮，但几乎不写「这个系统在实验室之外能不能跑」。而我在实机上遇到的每一个问题——电池电压跌落导致算力降频、风扇进灰导致过热降速、机架共振影响惯导——都属于这类「论文不写但工程天天有」的部分。</w:t>
      </w:r>
    </w:p>
    <w:p>
      <w:pPr>
        <w:spacing w:before="0" w:after="120" w:lineRule="auto" w:line="360"/>
        <w:ind w:firstLine="480"/>
      </w:pPr>
      <w:r>
        <w:rPr>
          <w:rFonts w:ascii="宋体" w:hAnsi="宋体" w:eastAsia="宋体"/>
          <w:b w:val="0"/>
          <w:color w:val="111827"/>
          <w:sz w:val="24"/>
        </w:rPr>
        <w:t>德国的机电一体化教育有个特点：从整机出发倒推各子系统。学生入学先做整机集成，再根据遇到的问题去补理论。这与我本科的路径正好相反——我是先学理论，再想办法拼出一个能跑的东西。两种路径各有价值，但我需要补上前一种。</w:t>
      </w:r>
    </w:p>
    <w:p>
      <w:pPr>
        <w:keepNext/>
        <w:keepLines/>
        <w:spacing w:before="280" w:after="140" w:line="360" w:lineRule="auto"/>
      </w:pPr>
      <w:r>
        <w:rPr>
          <w:rFonts w:ascii="黑体" w:hAnsi="黑体" w:eastAsia="黑体"/>
          <w:b/>
          <w:color w:val="111827"/>
          <w:sz w:val="30"/>
        </w:rPr>
        <w:t>二、研修计划</w:t>
      </w:r>
    </w:p>
    <w:p>
      <w:pPr>
        <w:keepNext/>
        <w:keepLines/>
        <w:spacing w:before="0" w:after="120" w:lineRule="auto" w:line="360"/>
        <w:ind w:firstLine="480"/>
      </w:pPr>
      <w:r>
        <w:rPr>
          <w:rFonts w:ascii="宋体" w:hAnsi="宋体" w:eastAsia="宋体"/>
          <w:b w:val="0"/>
          <w:color w:val="111827"/>
          <w:sz w:val="24"/>
        </w:rPr>
        <w:t>研修计划按「课程补齐—方法研究—系统验证」三阶段推进，时间安排如下：</w:t>
      </w:r>
    </w:p>
    <w:p>
      <w:pPr>
        <w:keepNext/>
        <w:keepLines/>
        <w:spacing w:before="160" w:after="60"/>
        <w:jc w:val="center"/>
      </w:pPr>
      <w:r>
        <w:drawing>
          <wp:inline xmlns:a="http://schemas.openxmlformats.org/drawingml/2006/main" xmlns:pic="http://schemas.openxmlformats.org/drawingml/2006/picture">
            <wp:extent cx="5348767" cy="2520000"/>
            <wp:docPr id="1" name="Picture 1"/>
            <wp:cNvGraphicFramePr>
              <a:graphicFrameLocks noChangeAspect="1"/>
            </wp:cNvGraphicFramePr>
            <a:graphic>
              <a:graphicData uri="http://schemas.openxmlformats.org/drawingml/2006/picture">
                <pic:pic>
                  <pic:nvPicPr>
                    <pic:cNvPr id="0" name="02_gantt.png"/>
                    <pic:cNvPicPr/>
                  </pic:nvPicPr>
                  <pic:blipFill>
                    <a:blip r:embed="rId10"/>
                    <a:stretch>
                      <a:fillRect/>
                    </a:stretch>
                  </pic:blipFill>
                  <pic:spPr>
                    <a:xfrm>
                      <a:off x="0" y="0"/>
                      <a:ext cx="5348767" cy="2520000"/>
                    </a:xfrm>
                    <a:prstGeom prst="rect"/>
                  </pic:spPr>
                </pic:pic>
              </a:graphicData>
            </a:graphic>
          </wp:inline>
        </w:drawing>
      </w:r>
    </w:p>
    <w:p>
      <w:pPr>
        <w:keepLines/>
        <w:spacing w:before="0" w:after="200"/>
        <w:jc w:val="center"/>
      </w:pPr>
      <w:r>
        <w:rPr>
          <w:rFonts w:ascii="宋体" w:hAnsi="宋体" w:eastAsia="宋体"/>
          <w:b w:val="0"/>
          <w:color w:val="6B7280"/>
          <w:sz w:val="21"/>
        </w:rPr>
        <w:t>图 1　24 个月研修计划甘特图</w:t>
      </w:r>
    </w:p>
    <w:p>
      <w:pPr>
        <w:keepNext/>
        <w:keepLines/>
        <w:spacing w:before="120" w:after="40" w:line="288" w:lineRule="auto"/>
        <w:jc w:val="center"/>
      </w:pPr>
      <w:r>
        <w:rPr>
          <w:rFonts w:ascii="黑体" w:hAnsi="黑体" w:eastAsia="黑体"/>
          <w:b w:val="0"/>
          <w:color w:val="111827"/>
          <w:sz w:val="21"/>
        </w:rPr>
        <w:t>表 1　24 个月研修计划的阶段任务与阶段目标</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1488"/>
        <w:gridCol w:w="1687"/>
        <w:gridCol w:w="3572"/>
        <w:gridCol w:w="1984"/>
      </w:tblGrid>
      <w:tr>
        <w:trPr>
          <w:tblHeader/>
          <w:cantSplit/>
        </w:trPr>
        <w:tc>
          <w:tcPr>
            <w:tcW w:type="dxa" w:w="1488"/>
          </w:tcPr>
          <w:p>
            <w:pPr>
              <w:keepNext/>
              <w:keepLines/>
              <w:spacing w:before="0" w:after="0"/>
              <w:jc w:val="center"/>
            </w:pPr>
            <w:r/>
            <w:r>
              <w:rPr>
                <w:rFonts w:ascii="黑体" w:hAnsi="黑体" w:eastAsia="黑体"/>
                <w:b/>
                <w:color w:val="111827"/>
                <w:sz w:val="21"/>
              </w:rPr>
              <w:t>阶段</w:t>
            </w:r>
          </w:p>
        </w:tc>
        <w:tc>
          <w:tcPr>
            <w:tcW w:type="dxa" w:w="1687"/>
          </w:tcPr>
          <w:p>
            <w:pPr>
              <w:keepNext/>
              <w:keepLines/>
              <w:spacing w:before="0" w:after="0"/>
              <w:jc w:val="center"/>
            </w:pPr>
            <w:r/>
            <w:r>
              <w:rPr>
                <w:rFonts w:ascii="黑体" w:hAnsi="黑体" w:eastAsia="黑体"/>
                <w:b/>
                <w:color w:val="111827"/>
                <w:sz w:val="21"/>
              </w:rPr>
              <w:t>时间</w:t>
            </w:r>
          </w:p>
        </w:tc>
        <w:tc>
          <w:tcPr>
            <w:tcW w:type="dxa" w:w="3572"/>
          </w:tcPr>
          <w:p>
            <w:pPr>
              <w:keepNext/>
              <w:keepLines/>
              <w:spacing w:before="0" w:after="0"/>
              <w:jc w:val="center"/>
            </w:pPr>
            <w:r/>
            <w:r>
              <w:rPr>
                <w:rFonts w:ascii="黑体" w:hAnsi="黑体" w:eastAsia="黑体"/>
                <w:b/>
                <w:color w:val="111827"/>
                <w:sz w:val="21"/>
              </w:rPr>
              <w:t>主要任务</w:t>
            </w:r>
          </w:p>
        </w:tc>
        <w:tc>
          <w:tcPr>
            <w:tcW w:type="dxa" w:w="1984"/>
          </w:tcPr>
          <w:p>
            <w:pPr>
              <w:keepNext/>
              <w:keepLines/>
              <w:spacing w:before="0" w:after="0"/>
              <w:jc w:val="center"/>
            </w:pPr>
            <w:r/>
            <w:r>
              <w:rPr>
                <w:rFonts w:ascii="黑体" w:hAnsi="黑体" w:eastAsia="黑体"/>
                <w:b/>
                <w:color w:val="111827"/>
                <w:sz w:val="21"/>
              </w:rPr>
              <w:t>阶段目标</w:t>
            </w:r>
          </w:p>
        </w:tc>
      </w:tr>
      <w:tr>
        <w:trPr>
          <w:cantSplit/>
        </w:trPr>
        <w:tc>
          <w:tcPr>
            <w:tcW w:type="dxa" w:w="1488"/>
          </w:tcPr>
          <w:p>
            <w:pPr>
              <w:keepNext/>
              <w:keepLines/>
              <w:spacing w:before="0" w:after="0" w:line="276" w:lineRule="auto"/>
            </w:pPr>
            <w:r/>
            <w:r>
              <w:rPr>
                <w:rFonts w:ascii="宋体" w:hAnsi="宋体" w:eastAsia="宋体"/>
                <w:b w:val="0"/>
                <w:color w:val="111827"/>
                <w:sz w:val="21"/>
              </w:rPr>
              <w:t>课程补齐</w:t>
            </w:r>
          </w:p>
        </w:tc>
        <w:tc>
          <w:tcPr>
            <w:tcW w:type="dxa" w:w="1687"/>
          </w:tcPr>
          <w:p>
            <w:pPr>
              <w:keepNext/>
              <w:keepLines/>
              <w:spacing w:before="0" w:after="0" w:line="276" w:lineRule="auto"/>
              <w:jc w:val="center"/>
            </w:pPr>
            <w:r/>
            <w:r>
              <w:rPr>
                <w:rFonts w:ascii="宋体" w:hAnsi="宋体" w:eastAsia="宋体"/>
                <w:b w:val="0"/>
                <w:color w:val="111827"/>
                <w:sz w:val="21"/>
              </w:rPr>
              <w:t>第 1—6 月</w:t>
            </w:r>
          </w:p>
        </w:tc>
        <w:tc>
          <w:tcPr>
            <w:tcW w:type="dxa" w:w="3572"/>
          </w:tcPr>
          <w:p>
            <w:pPr>
              <w:keepNext/>
              <w:keepLines/>
              <w:spacing w:before="0" w:after="0" w:line="276" w:lineRule="auto"/>
              <w:jc w:val="center"/>
            </w:pPr>
            <w:r/>
            <w:r>
              <w:rPr>
                <w:rFonts w:ascii="宋体" w:hAnsi="宋体" w:eastAsia="宋体"/>
                <w:b w:val="0"/>
                <w:color w:val="111827"/>
                <w:sz w:val="21"/>
              </w:rPr>
              <w:t>修读概率机器人、最优控制、嵌入式系统</w:t>
            </w:r>
          </w:p>
        </w:tc>
        <w:tc>
          <w:tcPr>
            <w:tcW w:type="dxa" w:w="1984"/>
          </w:tcPr>
          <w:p>
            <w:pPr>
              <w:keepNext/>
              <w:keepLines/>
              <w:spacing w:before="0" w:after="0" w:line="276" w:lineRule="auto"/>
              <w:jc w:val="center"/>
            </w:pPr>
            <w:r/>
            <w:r>
              <w:rPr>
                <w:rFonts w:ascii="宋体" w:hAnsi="宋体" w:eastAsia="宋体"/>
                <w:b w:val="0"/>
                <w:color w:val="111827"/>
                <w:sz w:val="21"/>
              </w:rPr>
              <w:t>通过课程考核</w:t>
            </w:r>
          </w:p>
        </w:tc>
      </w:tr>
      <w:tr>
        <w:trPr>
          <w:cantSplit/>
        </w:trPr>
        <w:tc>
          <w:tcPr>
            <w:tcW w:type="dxa" w:w="1488"/>
          </w:tcPr>
          <w:p>
            <w:pPr>
              <w:keepNext/>
              <w:keepLines/>
              <w:spacing w:before="0" w:after="0" w:line="276" w:lineRule="auto"/>
            </w:pPr>
            <w:r/>
            <w:r>
              <w:rPr>
                <w:rFonts w:ascii="宋体" w:hAnsi="宋体" w:eastAsia="宋体"/>
                <w:b w:val="0"/>
                <w:color w:val="111827"/>
                <w:sz w:val="21"/>
              </w:rPr>
              <w:t>方法研究</w:t>
            </w:r>
          </w:p>
        </w:tc>
        <w:tc>
          <w:tcPr>
            <w:tcW w:type="dxa" w:w="1687"/>
          </w:tcPr>
          <w:p>
            <w:pPr>
              <w:keepNext/>
              <w:keepLines/>
              <w:spacing w:before="0" w:after="0" w:line="276" w:lineRule="auto"/>
              <w:jc w:val="center"/>
            </w:pPr>
            <w:r/>
            <w:r>
              <w:rPr>
                <w:rFonts w:ascii="宋体" w:hAnsi="宋体" w:eastAsia="宋体"/>
                <w:b w:val="0"/>
                <w:color w:val="111827"/>
                <w:sz w:val="21"/>
              </w:rPr>
              <w:t>第 7—15 月</w:t>
            </w:r>
          </w:p>
        </w:tc>
        <w:tc>
          <w:tcPr>
            <w:tcW w:type="dxa" w:w="3572"/>
          </w:tcPr>
          <w:p>
            <w:pPr>
              <w:keepNext/>
              <w:keepLines/>
              <w:spacing w:before="0" w:after="0" w:line="276" w:lineRule="auto"/>
              <w:jc w:val="center"/>
            </w:pPr>
            <w:r/>
            <w:r>
              <w:rPr>
                <w:rFonts w:ascii="宋体" w:hAnsi="宋体" w:eastAsia="宋体"/>
                <w:b w:val="0"/>
                <w:color w:val="111827"/>
                <w:sz w:val="21"/>
              </w:rPr>
              <w:t>研究感知不确定性下的规划鲁棒性</w:t>
            </w:r>
          </w:p>
        </w:tc>
        <w:tc>
          <w:tcPr>
            <w:tcW w:type="dxa" w:w="1984"/>
          </w:tcPr>
          <w:p>
            <w:pPr>
              <w:keepNext/>
              <w:keepLines/>
              <w:spacing w:before="0" w:after="0" w:line="276" w:lineRule="auto"/>
              <w:jc w:val="center"/>
            </w:pPr>
            <w:r/>
            <w:r>
              <w:rPr>
                <w:rFonts w:ascii="宋体" w:hAnsi="宋体" w:eastAsia="宋体"/>
                <w:b w:val="0"/>
                <w:color w:val="111827"/>
                <w:sz w:val="21"/>
              </w:rPr>
              <w:t>完成会议论文 1 篇</w:t>
            </w:r>
          </w:p>
        </w:tc>
      </w:tr>
      <w:tr>
        <w:trPr>
          <w:cantSplit/>
        </w:trPr>
        <w:tc>
          <w:tcPr>
            <w:tcW w:type="dxa" w:w="1488"/>
          </w:tcPr>
          <w:p>
            <w:pPr>
              <w:keepNext/>
              <w:keepLines/>
              <w:spacing w:before="0" w:after="0" w:line="276" w:lineRule="auto"/>
            </w:pPr>
            <w:r/>
            <w:r>
              <w:rPr>
                <w:rFonts w:ascii="宋体" w:hAnsi="宋体" w:eastAsia="宋体"/>
                <w:b w:val="0"/>
                <w:color w:val="111827"/>
                <w:sz w:val="21"/>
              </w:rPr>
              <w:t>系统验证</w:t>
            </w:r>
          </w:p>
        </w:tc>
        <w:tc>
          <w:tcPr>
            <w:tcW w:type="dxa" w:w="1687"/>
          </w:tcPr>
          <w:p>
            <w:pPr>
              <w:keepNext/>
              <w:keepLines/>
              <w:spacing w:before="0" w:after="0" w:line="276" w:lineRule="auto"/>
              <w:jc w:val="center"/>
            </w:pPr>
            <w:r/>
            <w:r>
              <w:rPr>
                <w:rFonts w:ascii="宋体" w:hAnsi="宋体" w:eastAsia="宋体"/>
                <w:b w:val="0"/>
                <w:color w:val="111827"/>
                <w:sz w:val="21"/>
              </w:rPr>
              <w:t>第 16—22 月</w:t>
            </w:r>
          </w:p>
        </w:tc>
        <w:tc>
          <w:tcPr>
            <w:tcW w:type="dxa" w:w="3572"/>
          </w:tcPr>
          <w:p>
            <w:pPr>
              <w:keepNext/>
              <w:keepLines/>
              <w:spacing w:before="0" w:after="0" w:line="276" w:lineRule="auto"/>
              <w:jc w:val="center"/>
            </w:pPr>
            <w:r/>
            <w:r>
              <w:rPr>
                <w:rFonts w:ascii="宋体" w:hAnsi="宋体" w:eastAsia="宋体"/>
                <w:b w:val="0"/>
                <w:color w:val="111827"/>
                <w:sz w:val="21"/>
              </w:rPr>
              <w:t>在实验室整机平台完成验证</w:t>
            </w:r>
          </w:p>
        </w:tc>
        <w:tc>
          <w:tcPr>
            <w:tcW w:type="dxa" w:w="1984"/>
          </w:tcPr>
          <w:p>
            <w:pPr>
              <w:keepNext/>
              <w:keepLines/>
              <w:spacing w:before="0" w:after="0" w:line="276" w:lineRule="auto"/>
              <w:jc w:val="center"/>
            </w:pPr>
            <w:r/>
            <w:r>
              <w:rPr>
                <w:rFonts w:ascii="宋体" w:hAnsi="宋体" w:eastAsia="宋体"/>
                <w:b w:val="0"/>
                <w:color w:val="111827"/>
                <w:sz w:val="21"/>
              </w:rPr>
              <w:t>完成期刊论文 1 篇</w:t>
            </w:r>
          </w:p>
        </w:tc>
      </w:tr>
      <w:tr>
        <w:trPr>
          <w:cantSplit/>
        </w:trPr>
        <w:tc>
          <w:tcPr>
            <w:tcW w:type="dxa" w:w="1488"/>
          </w:tcPr>
          <w:p>
            <w:pPr>
              <w:spacing w:before="0" w:after="0" w:line="276" w:lineRule="auto"/>
            </w:pPr>
            <w:r/>
            <w:r>
              <w:rPr>
                <w:rFonts w:ascii="宋体" w:hAnsi="宋体" w:eastAsia="宋体"/>
                <w:b w:val="0"/>
                <w:color w:val="111827"/>
                <w:sz w:val="21"/>
              </w:rPr>
              <w:t>学位论文</w:t>
            </w:r>
          </w:p>
        </w:tc>
        <w:tc>
          <w:tcPr>
            <w:tcW w:type="dxa" w:w="1687"/>
          </w:tcPr>
          <w:p>
            <w:pPr>
              <w:spacing w:before="0" w:after="0" w:line="276" w:lineRule="auto"/>
              <w:jc w:val="center"/>
            </w:pPr>
            <w:r/>
            <w:r>
              <w:rPr>
                <w:rFonts w:ascii="宋体" w:hAnsi="宋体" w:eastAsia="宋体"/>
                <w:b w:val="0"/>
                <w:color w:val="111827"/>
                <w:sz w:val="21"/>
              </w:rPr>
              <w:t>第 23—24 月</w:t>
            </w:r>
          </w:p>
        </w:tc>
        <w:tc>
          <w:tcPr>
            <w:tcW w:type="dxa" w:w="3572"/>
          </w:tcPr>
          <w:p>
            <w:pPr>
              <w:spacing w:before="0" w:after="0" w:line="276" w:lineRule="auto"/>
              <w:jc w:val="center"/>
            </w:pPr>
            <w:r/>
            <w:r>
              <w:rPr>
                <w:rFonts w:ascii="宋体" w:hAnsi="宋体" w:eastAsia="宋体"/>
                <w:b w:val="0"/>
                <w:color w:val="111827"/>
                <w:sz w:val="21"/>
              </w:rPr>
              <w:t>撰写并答辩</w:t>
            </w:r>
          </w:p>
        </w:tc>
        <w:tc>
          <w:tcPr>
            <w:tcW w:type="dxa" w:w="1984"/>
          </w:tcPr>
          <w:p>
            <w:pPr>
              <w:spacing w:before="0" w:after="0" w:line="276" w:lineRule="auto"/>
              <w:jc w:val="center"/>
            </w:pPr>
            <w:r/>
            <w:r>
              <w:rPr>
                <w:rFonts w:ascii="宋体" w:hAnsi="宋体" w:eastAsia="宋体"/>
                <w:b w:val="0"/>
                <w:color w:val="111827"/>
                <w:sz w:val="21"/>
              </w:rPr>
              <w:t>获得硕士学位</w:t>
            </w:r>
          </w:p>
        </w:tc>
      </w:tr>
    </w:tbl>
    <w:p>
      <w:pPr>
        <w:spacing w:before="0" w:after="0" w:line="240" w:lineRule="exact"/>
      </w:pPr>
      <w:r>
        <w:rPr>
          <w:rFonts w:ascii="宋体" w:hAnsi="宋体" w:eastAsia="宋体"/>
          <w:b w:val="0"/>
          <w:color w:val="111827"/>
          <w:sz w:val="16"/>
        </w:rPr>
      </w:r>
    </w:p>
    <w:p>
      <w:pPr>
        <w:keepNext/>
        <w:keepLines/>
        <w:spacing w:before="200" w:after="100" w:line="360" w:lineRule="auto"/>
      </w:pPr>
      <w:r>
        <w:rPr>
          <w:rFonts w:ascii="黑体" w:hAnsi="黑体" w:eastAsia="黑体"/>
          <w:b/>
          <w:color w:val="111827"/>
          <w:sz w:val="25"/>
        </w:rPr>
        <w:t>2.1 分年度任务分解</w:t>
      </w:r>
    </w:p>
    <w:p>
      <w:pPr>
        <w:spacing w:before="0" w:after="120" w:lineRule="auto" w:line="360"/>
        <w:ind w:firstLine="480"/>
      </w:pPr>
      <w:r>
        <w:rPr>
          <w:rFonts w:ascii="宋体" w:hAnsi="宋体" w:eastAsia="宋体"/>
          <w:b w:val="0"/>
          <w:color w:val="111827"/>
          <w:sz w:val="24"/>
        </w:rPr>
        <w:t>24 个月的学习期，我按「先补基础、再做研究、最后做系统」的顺序安排，每个阶段都有明确的交付物，而不是笼统地写「开展研究」。</w:t>
      </w:r>
    </w:p>
    <w:p>
      <w:pPr>
        <w:keepNext/>
        <w:keepLines/>
        <w:spacing w:before="160" w:after="60"/>
        <w:jc w:val="center"/>
      </w:pPr>
      <w:r>
        <w:drawing>
          <wp:inline xmlns:a="http://schemas.openxmlformats.org/drawingml/2006/main" xmlns:pic="http://schemas.openxmlformats.org/drawingml/2006/picture">
            <wp:extent cx="5078264" cy="2520000"/>
            <wp:docPr id="2" name="Picture 2"/>
            <wp:cNvGraphicFramePr>
              <a:graphicFrameLocks noChangeAspect="1"/>
            </wp:cNvGraphicFramePr>
            <a:graphic>
              <a:graphicData uri="http://schemas.openxmlformats.org/drawingml/2006/picture">
                <pic:pic>
                  <pic:nvPicPr>
                    <pic:cNvPr id="0" name="12_wbs.png"/>
                    <pic:cNvPicPr/>
                  </pic:nvPicPr>
                  <pic:blipFill>
                    <a:blip r:embed="rId11"/>
                    <a:stretch>
                      <a:fillRect/>
                    </a:stretch>
                  </pic:blipFill>
                  <pic:spPr>
                    <a:xfrm>
                      <a:off x="0" y="0"/>
                      <a:ext cx="5078264" cy="2520000"/>
                    </a:xfrm>
                    <a:prstGeom prst="rect"/>
                  </pic:spPr>
                </pic:pic>
              </a:graphicData>
            </a:graphic>
          </wp:inline>
        </w:drawing>
      </w:r>
    </w:p>
    <w:p>
      <w:pPr>
        <w:keepLines/>
        <w:spacing w:before="0" w:after="200"/>
        <w:jc w:val="center"/>
      </w:pPr>
      <w:r>
        <w:rPr>
          <w:rFonts w:ascii="宋体" w:hAnsi="宋体" w:eastAsia="宋体"/>
          <w:b w:val="0"/>
          <w:color w:val="6B7280"/>
          <w:sz w:val="21"/>
        </w:rPr>
        <w:t>图 2　研修任务分解（WBS）：三阶段 → 六个子任务</w:t>
      </w:r>
    </w:p>
    <w:p>
      <w:pPr>
        <w:spacing w:before="0" w:after="120" w:lineRule="auto" w:line="360"/>
        <w:ind w:firstLine="480"/>
      </w:pPr>
      <w:r>
        <w:rPr>
          <w:rFonts w:ascii="宋体" w:hAnsi="宋体" w:eastAsia="宋体"/>
          <w:b w:val="0"/>
          <w:color w:val="111827"/>
          <w:sz w:val="24"/>
        </w:rPr>
        <w:t>课程补齐阶段的重点是补数学。我本科的数学基础以工科标准为主——会算但不太会证。概率机器人学与最优控制这两门课，对测度论与泛函分析有前置要求，这是我最薄弱的部分。计划在入学前先用一个学期自学补上。</w:t>
      </w:r>
    </w:p>
    <w:p>
      <w:pPr>
        <w:spacing w:before="0" w:after="120" w:lineRule="auto" w:line="360"/>
        <w:ind w:firstLine="480"/>
      </w:pPr>
      <w:r>
        <w:rPr>
          <w:rFonts w:ascii="宋体" w:hAnsi="宋体" w:eastAsia="宋体"/>
          <w:b w:val="0"/>
          <w:color w:val="111827"/>
          <w:sz w:val="24"/>
        </w:rPr>
        <w:t>方法研究阶段希望聚焦「感知不确定性如何进入规划」这一个问题，而不是铺开做多个方向。具体切入点是：把感知模块的协方差矩阵，而不是单一的点估计，作为规划器的输入，让规划器在代价函数中显式处理不确定性。这个思路在理论上不新，但工程实现上有很多细节值得做。</w:t>
      </w:r>
    </w:p>
    <w:p>
      <w:pPr>
        <w:spacing w:before="0" w:after="120" w:lineRule="auto" w:line="360"/>
        <w:ind w:firstLine="480"/>
      </w:pPr>
      <w:r>
        <w:rPr>
          <w:rFonts w:ascii="宋体" w:hAnsi="宋体" w:eastAsia="宋体"/>
          <w:b w:val="0"/>
          <w:color w:val="111827"/>
          <w:sz w:val="24"/>
        </w:rPr>
        <w:t>系统验证阶段需要完成整机实验与两篇论文。这里有个现实考量：24 个月的时间做两篇论文并不宽裕，因此计划把会议论文放在第 15 个月、期刊论文放在第 22 个月，中间留出 7 个月做实验与修改。若进度落后，优先保证期刊论文。</w:t>
      </w:r>
    </w:p>
    <w:p>
      <w:pPr>
        <w:keepNext/>
        <w:keepLines/>
        <w:spacing w:before="280" w:after="140" w:line="360" w:lineRule="auto"/>
      </w:pPr>
      <w:r>
        <w:rPr>
          <w:rFonts w:ascii="黑体" w:hAnsi="黑体" w:eastAsia="黑体"/>
          <w:b/>
          <w:color w:val="111827"/>
          <w:sz w:val="30"/>
        </w:rPr>
        <w:t>三、外方院校与导师对接</w:t>
      </w:r>
    </w:p>
    <w:p>
      <w:pPr>
        <w:spacing w:before="0" w:after="120" w:lineRule="auto" w:line="360"/>
        <w:ind w:firstLine="480"/>
      </w:pPr>
      <w:r>
        <w:rPr>
          <w:rFonts w:ascii="宋体" w:hAnsi="宋体" w:eastAsia="宋体"/>
          <w:b w:val="0"/>
          <w:color w:val="111827"/>
          <w:sz w:val="24"/>
        </w:rPr>
        <w:t>已与 ××工业大学 Prof. Dr. Müller 取得联系，对方回复表示愿意接收，并确认其课题组正在开展的「不确定环境下的移动机器人自主导航」项目与我的研究计划高度相关，可提供整机实验平台支持。</w:t>
      </w:r>
    </w:p>
    <w:p>
      <w:pPr>
        <w:keepNext/>
        <w:keepLines/>
        <w:spacing w:before="120" w:after="40" w:line="288" w:lineRule="auto"/>
        <w:jc w:val="center"/>
      </w:pPr>
      <w:r>
        <w:rPr>
          <w:rFonts w:ascii="黑体" w:hAnsi="黑体" w:eastAsia="黑体"/>
          <w:b w:val="0"/>
          <w:color w:val="111827"/>
          <w:sz w:val="21"/>
        </w:rPr>
        <w:t>表 2　外方导师情况与可提供的接收条件</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2328"/>
        <w:gridCol w:w="6403"/>
      </w:tblGrid>
      <w:tr>
        <w:trPr>
          <w:tblHeader/>
          <w:cantSplit/>
        </w:trPr>
        <w:tc>
          <w:tcPr>
            <w:tcW w:type="dxa" w:w="2328"/>
          </w:tcPr>
          <w:p>
            <w:pPr>
              <w:keepNext/>
              <w:keepLines/>
              <w:spacing w:before="0" w:after="0"/>
              <w:jc w:val="center"/>
            </w:pPr>
            <w:r/>
            <w:r>
              <w:rPr>
                <w:rFonts w:ascii="黑体" w:hAnsi="黑体" w:eastAsia="黑体"/>
                <w:b/>
                <w:color w:val="111827"/>
                <w:sz w:val="21"/>
              </w:rPr>
              <w:t>项目</w:t>
            </w:r>
          </w:p>
        </w:tc>
        <w:tc>
          <w:tcPr>
            <w:tcW w:type="dxa" w:w="6403"/>
          </w:tcPr>
          <w:p>
            <w:pPr>
              <w:keepNext/>
              <w:keepLines/>
              <w:spacing w:before="0" w:after="0"/>
              <w:jc w:val="center"/>
            </w:pPr>
            <w:r/>
            <w:r>
              <w:rPr>
                <w:rFonts w:ascii="黑体" w:hAnsi="黑体" w:eastAsia="黑体"/>
                <w:b/>
                <w:color w:val="111827"/>
                <w:sz w:val="21"/>
              </w:rPr>
              <w:t>内容</w:t>
            </w:r>
          </w:p>
        </w:tc>
      </w:tr>
      <w:tr>
        <w:trPr>
          <w:cantSplit/>
        </w:trPr>
        <w:tc>
          <w:tcPr>
            <w:tcW w:type="dxa" w:w="2328"/>
          </w:tcPr>
          <w:p>
            <w:pPr>
              <w:keepNext/>
              <w:keepLines/>
              <w:spacing w:before="0" w:after="0" w:line="276" w:lineRule="auto"/>
            </w:pPr>
            <w:r/>
            <w:r>
              <w:rPr>
                <w:rFonts w:ascii="宋体" w:hAnsi="宋体" w:eastAsia="宋体"/>
                <w:b w:val="0"/>
                <w:color w:val="111827"/>
                <w:sz w:val="21"/>
              </w:rPr>
              <w:t>外方导师</w:t>
            </w:r>
          </w:p>
        </w:tc>
        <w:tc>
          <w:tcPr>
            <w:tcW w:type="dxa" w:w="6403"/>
          </w:tcPr>
          <w:p>
            <w:pPr>
              <w:keepNext/>
              <w:keepLines/>
              <w:spacing w:before="0" w:after="0" w:line="276" w:lineRule="auto"/>
              <w:jc w:val="center"/>
            </w:pPr>
            <w:r/>
            <w:r>
              <w:rPr>
                <w:rFonts w:ascii="宋体" w:hAnsi="宋体" w:eastAsia="宋体"/>
                <w:b w:val="0"/>
                <w:color w:val="111827"/>
                <w:sz w:val="21"/>
              </w:rPr>
              <w:t>Prof. Dr. Müller，机器人学研究所</w:t>
            </w:r>
          </w:p>
        </w:tc>
      </w:tr>
      <w:tr>
        <w:trPr>
          <w:cantSplit/>
        </w:trPr>
        <w:tc>
          <w:tcPr>
            <w:tcW w:type="dxa" w:w="2328"/>
          </w:tcPr>
          <w:p>
            <w:pPr>
              <w:keepNext/>
              <w:keepLines/>
              <w:spacing w:before="0" w:after="0" w:line="276" w:lineRule="auto"/>
            </w:pPr>
            <w:r/>
            <w:r>
              <w:rPr>
                <w:rFonts w:ascii="宋体" w:hAnsi="宋体" w:eastAsia="宋体"/>
                <w:b w:val="0"/>
                <w:color w:val="111827"/>
                <w:sz w:val="21"/>
              </w:rPr>
              <w:t>研究方向</w:t>
            </w:r>
          </w:p>
        </w:tc>
        <w:tc>
          <w:tcPr>
            <w:tcW w:type="dxa" w:w="6403"/>
          </w:tcPr>
          <w:p>
            <w:pPr>
              <w:keepNext/>
              <w:keepLines/>
              <w:spacing w:before="0" w:after="0" w:line="276" w:lineRule="auto"/>
              <w:jc w:val="center"/>
            </w:pPr>
            <w:r/>
            <w:r>
              <w:rPr>
                <w:rFonts w:ascii="宋体" w:hAnsi="宋体" w:eastAsia="宋体"/>
                <w:b w:val="0"/>
                <w:color w:val="111827"/>
                <w:sz w:val="21"/>
              </w:rPr>
              <w:t>不确定环境下的移动机器人自主导航</w:t>
            </w:r>
          </w:p>
        </w:tc>
      </w:tr>
      <w:tr>
        <w:trPr>
          <w:cantSplit/>
        </w:trPr>
        <w:tc>
          <w:tcPr>
            <w:tcW w:type="dxa" w:w="2328"/>
          </w:tcPr>
          <w:p>
            <w:pPr>
              <w:keepNext/>
              <w:keepLines/>
              <w:spacing w:before="0" w:after="0" w:line="276" w:lineRule="auto"/>
            </w:pPr>
            <w:r/>
            <w:r>
              <w:rPr>
                <w:rFonts w:ascii="宋体" w:hAnsi="宋体" w:eastAsia="宋体"/>
                <w:b w:val="0"/>
                <w:color w:val="111827"/>
                <w:sz w:val="21"/>
              </w:rPr>
              <w:t>可提供条件</w:t>
            </w:r>
          </w:p>
        </w:tc>
        <w:tc>
          <w:tcPr>
            <w:tcW w:type="dxa" w:w="6403"/>
          </w:tcPr>
          <w:p>
            <w:pPr>
              <w:keepNext/>
              <w:keepLines/>
              <w:spacing w:before="0" w:after="0" w:line="276" w:lineRule="auto"/>
              <w:jc w:val="center"/>
            </w:pPr>
            <w:r/>
            <w:r>
              <w:rPr>
                <w:rFonts w:ascii="宋体" w:hAnsi="宋体" w:eastAsia="宋体"/>
                <w:b w:val="0"/>
                <w:color w:val="111827"/>
                <w:sz w:val="21"/>
              </w:rPr>
              <w:t>整机实验平台、激光雷达与动捕系统</w:t>
            </w:r>
          </w:p>
        </w:tc>
      </w:tr>
      <w:tr>
        <w:trPr>
          <w:cantSplit/>
        </w:trPr>
        <w:tc>
          <w:tcPr>
            <w:tcW w:type="dxa" w:w="2328"/>
          </w:tcPr>
          <w:p>
            <w:pPr>
              <w:spacing w:before="0" w:after="0" w:line="276" w:lineRule="auto"/>
            </w:pPr>
            <w:r/>
            <w:r>
              <w:rPr>
                <w:rFonts w:ascii="宋体" w:hAnsi="宋体" w:eastAsia="宋体"/>
                <w:b w:val="0"/>
                <w:color w:val="111827"/>
                <w:sz w:val="21"/>
              </w:rPr>
              <w:t>沟通情况</w:t>
            </w:r>
          </w:p>
        </w:tc>
        <w:tc>
          <w:tcPr>
            <w:tcW w:type="dxa" w:w="6403"/>
          </w:tcPr>
          <w:p>
            <w:pPr>
              <w:spacing w:before="0" w:after="0" w:line="276" w:lineRule="auto"/>
              <w:jc w:val="center"/>
            </w:pPr>
            <w:r/>
            <w:r>
              <w:rPr>
                <w:rFonts w:ascii="宋体" w:hAnsi="宋体" w:eastAsia="宋体"/>
                <w:b w:val="0"/>
                <w:color w:val="111827"/>
                <w:sz w:val="21"/>
              </w:rPr>
              <w:t>已往来邮件 4 封，导师明确表示愿意接收</w:t>
            </w:r>
          </w:p>
        </w:tc>
      </w:tr>
    </w:tbl>
    <w:p>
      <w:pPr>
        <w:spacing w:before="0" w:after="0" w:line="240" w:lineRule="exact"/>
      </w:pPr>
      <w:r>
        <w:rPr>
          <w:rFonts w:ascii="宋体" w:hAnsi="宋体" w:eastAsia="宋体"/>
          <w:b w:val="0"/>
          <w:color w:val="111827"/>
          <w:sz w:val="16"/>
        </w:rPr>
      </w:r>
    </w:p>
    <w:p>
      <w:pPr>
        <w:spacing w:before="0" w:after="120" w:lineRule="auto" w:line="360"/>
        <w:ind w:firstLine="480"/>
      </w:pPr>
      <w:r>
        <w:rPr>
          <w:rFonts w:ascii="宋体" w:hAnsi="宋体" w:eastAsia="宋体"/>
          <w:b w:val="0"/>
          <w:color w:val="111827"/>
          <w:sz w:val="24"/>
        </w:rPr>
        <w:t>选择 ××工业大学而非排名更高的院校，是经过具体比较的。该校机器人学研究所拥有 400 平方米的室内飞行场与 Vicon 动捕系统，这套设施与我校实验室同源，我在国内积累的测试经验可以直接迁移，不需要重新适应工具链。此外该所与三家工业机器人企业有联合实验室，整机验证不必受限于实验室条件。</w:t>
      </w:r>
    </w:p>
    <w:p>
      <w:pPr>
        <w:spacing w:before="0" w:after="120" w:lineRule="auto" w:line="360"/>
        <w:ind w:firstLine="480"/>
      </w:pPr>
      <w:r>
        <w:rPr>
          <w:rFonts w:ascii="宋体" w:hAnsi="宋体" w:eastAsia="宋体"/>
          <w:b w:val="0"/>
          <w:color w:val="111827"/>
          <w:sz w:val="24"/>
        </w:rPr>
        <w:t>与 Prof. Dr. Müller 的沟通过程中，他明确提到课题组目前正在处理「感知不确定性下的规划鲁棒性」问题，与我本科阶段遇到的那 3 个百分点差距是同一个问题。他建议我入学前先补齐概率机器人学的数学基础，我已据此调整了自学计划。</w:t>
      </w:r>
    </w:p>
    <w:p>
      <w:pPr>
        <w:spacing w:before="0" w:after="120" w:lineRule="auto" w:line="360"/>
        <w:ind w:firstLine="480"/>
      </w:pPr>
      <w:r>
        <w:rPr>
          <w:rFonts w:ascii="宋体" w:hAnsi="宋体" w:eastAsia="宋体"/>
          <w:b w:val="0"/>
          <w:color w:val="111827"/>
          <w:sz w:val="24"/>
        </w:rPr>
        <w:t>关于「为什么是这所学校」，我想补充一个具体理由。该校机器人学研究所的室内飞行场有 400 平方米、净高 8 米，且装有 12 台动捕相机——这个配置能支撑真实的动态障碍实验，而不是只能在仿真里跑。国内多数高校的室内场地净高不足 4 米，高速飞行测试根本做不了。</w:t>
      </w:r>
    </w:p>
    <w:p>
      <w:pPr>
        <w:spacing w:before="0" w:after="120" w:lineRule="auto" w:line="360"/>
        <w:ind w:firstLine="480"/>
      </w:pPr>
      <w:r>
        <w:rPr>
          <w:rFonts w:ascii="宋体" w:hAnsi="宋体" w:eastAsia="宋体"/>
          <w:b w:val="0"/>
          <w:color w:val="111827"/>
          <w:sz w:val="24"/>
        </w:rPr>
        <w:t>与 Prof. Dr. Müller 的沟通中，他提到课题组目前的一个痛点：算法在仿真里表现好，一上机就退化，而他们缺一个能做系统级调试的学生。我的本科经历恰好补这一块——我在实机上踩过的坑，正是他们现在要踩的。这也是我认为双方匹配度高的原因，而不只是研究方向相同。</w:t>
      </w:r>
    </w:p>
    <w:p>
      <w:pPr>
        <w:keepNext/>
        <w:keepLines/>
        <w:spacing w:before="280" w:after="140" w:line="360" w:lineRule="auto"/>
      </w:pPr>
      <w:r>
        <w:rPr>
          <w:rFonts w:ascii="黑体" w:hAnsi="黑体" w:eastAsia="黑体"/>
          <w:b/>
          <w:color w:val="111827"/>
          <w:sz w:val="30"/>
        </w:rPr>
        <w:t>四、语言能力与跨文化适应准备</w:t>
      </w:r>
    </w:p>
    <w:p>
      <w:pPr>
        <w:spacing w:before="0" w:after="120" w:lineRule="auto" w:line="360"/>
        <w:ind w:firstLine="480"/>
      </w:pPr>
      <w:r>
        <w:rPr>
          <w:rFonts w:ascii="宋体" w:hAnsi="宋体" w:eastAsia="宋体"/>
          <w:b w:val="0"/>
          <w:color w:val="111827"/>
          <w:sz w:val="24"/>
        </w:rPr>
        <w:t>我的雅思成绩是总分 7.0（阅读 8.0、听力 7.5、写作 6.5、口语 6.5）。这个分数够用但不够好，写作和口语是明显短板，而这两项恰恰是留学期间最常用的。所以我给自己定了两条补强计划。</w:t>
      </w:r>
    </w:p>
    <w:p>
      <w:pPr>
        <w:keepNext/>
        <w:keepLines/>
        <w:spacing w:before="160" w:after="60"/>
        <w:jc w:val="center"/>
      </w:pPr>
      <w:r>
        <w:drawing>
          <wp:inline xmlns:a="http://schemas.openxmlformats.org/drawingml/2006/main" xmlns:pic="http://schemas.openxmlformats.org/drawingml/2006/picture">
            <wp:extent cx="5132497" cy="2520000"/>
            <wp:docPr id="3" name="Picture 3"/>
            <wp:cNvGraphicFramePr>
              <a:graphicFrameLocks noChangeAspect="1"/>
            </wp:cNvGraphicFramePr>
            <a:graphic>
              <a:graphicData uri="http://schemas.openxmlformats.org/drawingml/2006/picture">
                <pic:pic>
                  <pic:nvPicPr>
                    <pic:cNvPr id="0" name="17_readiness.png"/>
                    <pic:cNvPicPr/>
                  </pic:nvPicPr>
                  <pic:blipFill>
                    <a:blip r:embed="rId12"/>
                    <a:stretch>
                      <a:fillRect/>
                    </a:stretch>
                  </pic:blipFill>
                  <pic:spPr>
                    <a:xfrm>
                      <a:off x="0" y="0"/>
                      <a:ext cx="5132497" cy="2520000"/>
                    </a:xfrm>
                    <a:prstGeom prst="rect"/>
                  </pic:spPr>
                </pic:pic>
              </a:graphicData>
            </a:graphic>
          </wp:inline>
        </w:drawing>
      </w:r>
    </w:p>
    <w:p>
      <w:pPr>
        <w:keepLines/>
        <w:spacing w:before="0" w:after="200"/>
        <w:jc w:val="center"/>
      </w:pPr>
      <w:r>
        <w:rPr>
          <w:rFonts w:ascii="宋体" w:hAnsi="宋体" w:eastAsia="宋体"/>
          <w:b w:val="0"/>
          <w:color w:val="6B7280"/>
          <w:sz w:val="21"/>
        </w:rPr>
        <w:t>图 3　出国准备就绪度自评</w:t>
      </w:r>
    </w:p>
    <w:p>
      <w:pPr>
        <w:keepNext/>
        <w:keepLines/>
        <w:spacing w:before="120" w:after="40" w:line="288" w:lineRule="auto"/>
        <w:jc w:val="center"/>
      </w:pPr>
      <w:r>
        <w:rPr>
          <w:rFonts w:ascii="黑体" w:hAnsi="黑体" w:eastAsia="黑体"/>
          <w:b w:val="0"/>
          <w:color w:val="111827"/>
          <w:sz w:val="21"/>
        </w:rPr>
        <w:t>表 3　语言与跨文化能力的现状、目标与提升做法</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1204"/>
        <w:gridCol w:w="2710"/>
        <w:gridCol w:w="2308"/>
        <w:gridCol w:w="2509"/>
      </w:tblGrid>
      <w:tr>
        <w:trPr>
          <w:tblHeader/>
          <w:cantSplit/>
        </w:trPr>
        <w:tc>
          <w:tcPr>
            <w:tcW w:type="dxa" w:w="1204"/>
          </w:tcPr>
          <w:p>
            <w:pPr>
              <w:keepNext/>
              <w:keepLines/>
              <w:spacing w:before="0" w:after="0"/>
              <w:jc w:val="center"/>
            </w:pPr>
            <w:r/>
            <w:r>
              <w:rPr>
                <w:rFonts w:ascii="黑体" w:hAnsi="黑体" w:eastAsia="黑体"/>
                <w:b/>
                <w:color w:val="111827"/>
                <w:sz w:val="21"/>
              </w:rPr>
              <w:t>能力项</w:t>
            </w:r>
          </w:p>
        </w:tc>
        <w:tc>
          <w:tcPr>
            <w:tcW w:type="dxa" w:w="2710"/>
          </w:tcPr>
          <w:p>
            <w:pPr>
              <w:keepNext/>
              <w:keepLines/>
              <w:spacing w:before="0" w:after="0"/>
              <w:jc w:val="center"/>
            </w:pPr>
            <w:r/>
            <w:r>
              <w:rPr>
                <w:rFonts w:ascii="黑体" w:hAnsi="黑体" w:eastAsia="黑体"/>
                <w:b/>
                <w:color w:val="111827"/>
                <w:sz w:val="21"/>
              </w:rPr>
              <w:t>当前状态</w:t>
            </w:r>
          </w:p>
        </w:tc>
        <w:tc>
          <w:tcPr>
            <w:tcW w:type="dxa" w:w="2308"/>
          </w:tcPr>
          <w:p>
            <w:pPr>
              <w:keepNext/>
              <w:keepLines/>
              <w:spacing w:before="0" w:after="0"/>
              <w:jc w:val="center"/>
            </w:pPr>
            <w:r/>
            <w:r>
              <w:rPr>
                <w:rFonts w:ascii="黑体" w:hAnsi="黑体" w:eastAsia="黑体"/>
                <w:b/>
                <w:color w:val="111827"/>
                <w:sz w:val="21"/>
              </w:rPr>
              <w:t>目标</w:t>
            </w:r>
          </w:p>
        </w:tc>
        <w:tc>
          <w:tcPr>
            <w:tcW w:type="dxa" w:w="2509"/>
          </w:tcPr>
          <w:p>
            <w:pPr>
              <w:keepNext/>
              <w:keepLines/>
              <w:spacing w:before="0" w:after="0"/>
              <w:jc w:val="center"/>
            </w:pPr>
            <w:r/>
            <w:r>
              <w:rPr>
                <w:rFonts w:ascii="黑体" w:hAnsi="黑体" w:eastAsia="黑体"/>
                <w:b/>
                <w:color w:val="111827"/>
                <w:sz w:val="21"/>
              </w:rPr>
              <w:t>具体做法</w:t>
            </w:r>
          </w:p>
        </w:tc>
      </w:tr>
      <w:tr>
        <w:trPr>
          <w:cantSplit/>
        </w:trPr>
        <w:tc>
          <w:tcPr>
            <w:tcW w:type="dxa" w:w="1204"/>
          </w:tcPr>
          <w:p>
            <w:pPr>
              <w:keepNext/>
              <w:keepLines/>
              <w:spacing w:before="0" w:after="0" w:line="276" w:lineRule="auto"/>
            </w:pPr>
            <w:r/>
            <w:r>
              <w:rPr>
                <w:rFonts w:ascii="宋体" w:hAnsi="宋体" w:eastAsia="宋体"/>
                <w:b w:val="0"/>
                <w:color w:val="111827"/>
                <w:sz w:val="21"/>
              </w:rPr>
              <w:t>学术写作</w:t>
            </w:r>
          </w:p>
        </w:tc>
        <w:tc>
          <w:tcPr>
            <w:tcW w:type="dxa" w:w="2710"/>
          </w:tcPr>
          <w:p>
            <w:pPr>
              <w:keepNext/>
              <w:keepLines/>
              <w:spacing w:before="0" w:after="0" w:line="276" w:lineRule="auto"/>
              <w:jc w:val="center"/>
            </w:pPr>
            <w:r/>
            <w:r>
              <w:rPr>
                <w:rFonts w:ascii="宋体" w:hAnsi="宋体" w:eastAsia="宋体"/>
                <w:b w:val="0"/>
                <w:color w:val="111827"/>
                <w:sz w:val="21"/>
              </w:rPr>
              <w:t>雅思写作 6.5，能写完整论文但句式单一</w:t>
            </w:r>
          </w:p>
        </w:tc>
        <w:tc>
          <w:tcPr>
            <w:tcW w:type="dxa" w:w="2308"/>
          </w:tcPr>
          <w:p>
            <w:pPr>
              <w:keepNext/>
              <w:keepLines/>
              <w:spacing w:before="0" w:after="0" w:line="276" w:lineRule="auto"/>
              <w:jc w:val="center"/>
            </w:pPr>
            <w:r/>
            <w:r>
              <w:rPr>
                <w:rFonts w:ascii="宋体" w:hAnsi="宋体" w:eastAsia="宋体"/>
                <w:b w:val="0"/>
                <w:color w:val="111827"/>
                <w:sz w:val="21"/>
              </w:rPr>
              <w:t>能独立撰写英文期刊投稿信与回复审稿意见</w:t>
            </w:r>
          </w:p>
        </w:tc>
        <w:tc>
          <w:tcPr>
            <w:tcW w:type="dxa" w:w="2509"/>
          </w:tcPr>
          <w:p>
            <w:pPr>
              <w:keepNext/>
              <w:keepLines/>
              <w:spacing w:before="0" w:after="0" w:line="276" w:lineRule="auto"/>
              <w:jc w:val="center"/>
            </w:pPr>
            <w:r/>
            <w:r>
              <w:rPr>
                <w:rFonts w:ascii="宋体" w:hAnsi="宋体" w:eastAsia="宋体"/>
                <w:b w:val="0"/>
                <w:color w:val="111827"/>
                <w:sz w:val="21"/>
              </w:rPr>
              <w:t>每周精读 2 篇同方向论文的 Introduction 并仿写段落；请外方导师修改 2 稿</w:t>
            </w:r>
          </w:p>
        </w:tc>
      </w:tr>
      <w:tr>
        <w:trPr>
          <w:cantSplit/>
        </w:trPr>
        <w:tc>
          <w:tcPr>
            <w:tcW w:type="dxa" w:w="1204"/>
          </w:tcPr>
          <w:p>
            <w:pPr>
              <w:keepNext/>
              <w:keepLines/>
              <w:spacing w:before="0" w:after="0" w:line="276" w:lineRule="auto"/>
            </w:pPr>
            <w:r/>
            <w:r>
              <w:rPr>
                <w:rFonts w:ascii="宋体" w:hAnsi="宋体" w:eastAsia="宋体"/>
                <w:b w:val="0"/>
                <w:color w:val="111827"/>
                <w:sz w:val="21"/>
              </w:rPr>
              <w:t>口语表达</w:t>
            </w:r>
          </w:p>
        </w:tc>
        <w:tc>
          <w:tcPr>
            <w:tcW w:type="dxa" w:w="2710"/>
          </w:tcPr>
          <w:p>
            <w:pPr>
              <w:keepNext/>
              <w:keepLines/>
              <w:spacing w:before="0" w:after="0" w:line="276" w:lineRule="auto"/>
              <w:jc w:val="center"/>
            </w:pPr>
            <w:r/>
            <w:r>
              <w:rPr>
                <w:rFonts w:ascii="宋体" w:hAnsi="宋体" w:eastAsia="宋体"/>
                <w:b w:val="0"/>
                <w:color w:val="111827"/>
                <w:sz w:val="21"/>
              </w:rPr>
              <w:t>日常交流尚可，学术讨论易卡顿</w:t>
            </w:r>
          </w:p>
        </w:tc>
        <w:tc>
          <w:tcPr>
            <w:tcW w:type="dxa" w:w="2308"/>
          </w:tcPr>
          <w:p>
            <w:pPr>
              <w:keepNext/>
              <w:keepLines/>
              <w:spacing w:before="0" w:after="0" w:line="276" w:lineRule="auto"/>
              <w:jc w:val="center"/>
            </w:pPr>
            <w:r/>
            <w:r>
              <w:rPr>
                <w:rFonts w:ascii="宋体" w:hAnsi="宋体" w:eastAsia="宋体"/>
                <w:b w:val="0"/>
                <w:color w:val="111827"/>
                <w:sz w:val="21"/>
              </w:rPr>
              <w:t>能在组会上连续讲 20 分钟不掉链子</w:t>
            </w:r>
          </w:p>
        </w:tc>
        <w:tc>
          <w:tcPr>
            <w:tcW w:type="dxa" w:w="2509"/>
          </w:tcPr>
          <w:p>
            <w:pPr>
              <w:keepNext/>
              <w:keepLines/>
              <w:spacing w:before="0" w:after="0" w:line="276" w:lineRule="auto"/>
              <w:jc w:val="center"/>
            </w:pPr>
            <w:r/>
            <w:r>
              <w:rPr>
                <w:rFonts w:ascii="宋体" w:hAnsi="宋体" w:eastAsia="宋体"/>
                <w:b w:val="0"/>
                <w:color w:val="111827"/>
                <w:sz w:val="21"/>
              </w:rPr>
              <w:t>每周 3 次与语伴线上讨论论文；提前写讲稿并录音自查</w:t>
            </w:r>
          </w:p>
        </w:tc>
      </w:tr>
      <w:tr>
        <w:trPr>
          <w:cantSplit/>
        </w:trPr>
        <w:tc>
          <w:tcPr>
            <w:tcW w:type="dxa" w:w="1204"/>
          </w:tcPr>
          <w:p>
            <w:pPr>
              <w:keepNext/>
              <w:keepLines/>
              <w:spacing w:before="0" w:after="0" w:line="276" w:lineRule="auto"/>
            </w:pPr>
            <w:r/>
            <w:r>
              <w:rPr>
                <w:rFonts w:ascii="宋体" w:hAnsi="宋体" w:eastAsia="宋体"/>
                <w:b w:val="0"/>
                <w:color w:val="111827"/>
                <w:sz w:val="21"/>
              </w:rPr>
              <w:t>德语</w:t>
            </w:r>
          </w:p>
        </w:tc>
        <w:tc>
          <w:tcPr>
            <w:tcW w:type="dxa" w:w="2710"/>
          </w:tcPr>
          <w:p>
            <w:pPr>
              <w:keepNext/>
              <w:keepLines/>
              <w:spacing w:before="0" w:after="0" w:line="276" w:lineRule="auto"/>
              <w:jc w:val="center"/>
            </w:pPr>
            <w:r/>
            <w:r>
              <w:rPr>
                <w:rFonts w:ascii="宋体" w:hAnsi="宋体" w:eastAsia="宋体"/>
                <w:b w:val="0"/>
                <w:color w:val="111827"/>
                <w:sz w:val="21"/>
              </w:rPr>
              <w:t>零基础</w:t>
            </w:r>
          </w:p>
        </w:tc>
        <w:tc>
          <w:tcPr>
            <w:tcW w:type="dxa" w:w="2308"/>
          </w:tcPr>
          <w:p>
            <w:pPr>
              <w:keepNext/>
              <w:keepLines/>
              <w:spacing w:before="0" w:after="0" w:line="276" w:lineRule="auto"/>
              <w:jc w:val="center"/>
            </w:pPr>
            <w:r/>
            <w:r>
              <w:rPr>
                <w:rFonts w:ascii="宋体" w:hAnsi="宋体" w:eastAsia="宋体"/>
                <w:b w:val="0"/>
                <w:color w:val="111827"/>
                <w:sz w:val="21"/>
              </w:rPr>
              <w:t>达到 A2，能处理租房、就医、办证等日常场景</w:t>
            </w:r>
          </w:p>
        </w:tc>
        <w:tc>
          <w:tcPr>
            <w:tcW w:type="dxa" w:w="2509"/>
          </w:tcPr>
          <w:p>
            <w:pPr>
              <w:keepNext/>
              <w:keepLines/>
              <w:spacing w:before="0" w:after="0" w:line="276" w:lineRule="auto"/>
              <w:jc w:val="center"/>
            </w:pPr>
            <w:r/>
            <w:r>
              <w:rPr>
                <w:rFonts w:ascii="宋体" w:hAnsi="宋体" w:eastAsia="宋体"/>
                <w:b w:val="0"/>
                <w:color w:val="111827"/>
                <w:sz w:val="21"/>
              </w:rPr>
              <w:t>国内先修 A1（约 120 学时），赴德后参加校内语言班</w:t>
            </w:r>
          </w:p>
        </w:tc>
      </w:tr>
      <w:tr>
        <w:trPr>
          <w:cantSplit/>
        </w:trPr>
        <w:tc>
          <w:tcPr>
            <w:tcW w:type="dxa" w:w="1204"/>
          </w:tcPr>
          <w:p>
            <w:pPr>
              <w:spacing w:before="0" w:after="0" w:line="276" w:lineRule="auto"/>
            </w:pPr>
            <w:r/>
            <w:r>
              <w:rPr>
                <w:rFonts w:ascii="宋体" w:hAnsi="宋体" w:eastAsia="宋体"/>
                <w:b w:val="0"/>
                <w:color w:val="111827"/>
                <w:sz w:val="21"/>
              </w:rPr>
              <w:t>学术文化</w:t>
            </w:r>
          </w:p>
        </w:tc>
        <w:tc>
          <w:tcPr>
            <w:tcW w:type="dxa" w:w="2710"/>
          </w:tcPr>
          <w:p>
            <w:pPr>
              <w:spacing w:before="0" w:after="0" w:line="276" w:lineRule="auto"/>
              <w:jc w:val="center"/>
            </w:pPr>
            <w:r/>
            <w:r>
              <w:rPr>
                <w:rFonts w:ascii="宋体" w:hAnsi="宋体" w:eastAsia="宋体"/>
                <w:b w:val="0"/>
                <w:color w:val="111827"/>
                <w:sz w:val="21"/>
              </w:rPr>
              <w:t>了解组会、投稿流程，不熟悉德国博士/硕士培养制度</w:t>
            </w:r>
          </w:p>
        </w:tc>
        <w:tc>
          <w:tcPr>
            <w:tcW w:type="dxa" w:w="2308"/>
          </w:tcPr>
          <w:p>
            <w:pPr>
              <w:spacing w:before="0" w:after="0" w:line="276" w:lineRule="auto"/>
              <w:jc w:val="center"/>
            </w:pPr>
            <w:r/>
            <w:r>
              <w:rPr>
                <w:rFonts w:ascii="宋体" w:hAnsi="宋体" w:eastAsia="宋体"/>
                <w:b w:val="0"/>
                <w:color w:val="111827"/>
                <w:sz w:val="21"/>
              </w:rPr>
              <w:t>入学前弄清课程、学分、答辩与实习要求</w:t>
            </w:r>
          </w:p>
        </w:tc>
        <w:tc>
          <w:tcPr>
            <w:tcW w:type="dxa" w:w="2509"/>
          </w:tcPr>
          <w:p>
            <w:pPr>
              <w:spacing w:before="0" w:after="0" w:line="276" w:lineRule="auto"/>
              <w:jc w:val="center"/>
            </w:pPr>
            <w:r/>
            <w:r>
              <w:rPr>
                <w:rFonts w:ascii="宋体" w:hAnsi="宋体" w:eastAsia="宋体"/>
                <w:b w:val="0"/>
                <w:color w:val="111827"/>
                <w:sz w:val="21"/>
              </w:rPr>
              <w:t>已向在读学长咨询 3 次，整理成 8 页说明文档</w:t>
            </w:r>
          </w:p>
        </w:tc>
      </w:tr>
    </w:tbl>
    <w:p>
      <w:pPr>
        <w:spacing w:before="0" w:after="0" w:line="240" w:lineRule="exact"/>
      </w:pPr>
      <w:r>
        <w:rPr>
          <w:rFonts w:ascii="宋体" w:hAnsi="宋体" w:eastAsia="宋体"/>
          <w:b w:val="0"/>
          <w:color w:val="111827"/>
          <w:sz w:val="16"/>
        </w:rPr>
      </w:r>
    </w:p>
    <w:p>
      <w:pPr>
        <w:spacing w:before="0" w:after="120" w:lineRule="auto" w:line="360"/>
        <w:ind w:firstLine="480"/>
      </w:pPr>
      <w:r>
        <w:rPr>
          <w:rFonts w:ascii="宋体" w:hAnsi="宋体" w:eastAsia="宋体"/>
          <w:b w:val="0"/>
          <w:color w:val="111827"/>
          <w:sz w:val="24"/>
        </w:rPr>
        <w:t>跨文化适应上我的判断比较务实：真正难的不会是课堂，而是日常。租房合同、保险、银行开户、预约医生，这些事在语言不熟时最容易出问题。我已经把常见的表格与流程整理成一份清单，并联系到两位在该校就读的中国学长，明确了到达后第一周要办的顺序。</w:t>
      </w:r>
    </w:p>
    <w:p>
      <w:pPr>
        <w:keepNext/>
        <w:keepLines/>
        <w:spacing w:before="280" w:after="140" w:line="360" w:lineRule="auto"/>
      </w:pPr>
      <w:r>
        <w:rPr>
          <w:rFonts w:ascii="黑体" w:hAnsi="黑体" w:eastAsia="黑体"/>
          <w:b/>
          <w:color w:val="111827"/>
          <w:sz w:val="30"/>
        </w:rPr>
        <w:t>五、经费预算与使用计划</w:t>
      </w:r>
    </w:p>
    <w:p>
      <w:pPr>
        <w:spacing w:before="0" w:after="120" w:lineRule="auto" w:line="360"/>
        <w:ind w:firstLine="480"/>
      </w:pPr>
      <w:r>
        <w:rPr>
          <w:rFonts w:ascii="宋体" w:hAnsi="宋体" w:eastAsia="宋体"/>
          <w:b w:val="0"/>
          <w:color w:val="111827"/>
          <w:sz w:val="24"/>
        </w:rPr>
        <w:t>国家公派资助解决了最大的顾虑——不必为了生活费去接与课题无关的兼职。我的经费使用打算如下，尽量把每一笔说清楚。</w:t>
      </w:r>
    </w:p>
    <w:p>
      <w:pPr>
        <w:keepNext/>
        <w:keepLines/>
        <w:spacing w:before="120" w:after="40" w:line="288" w:lineRule="auto"/>
        <w:jc w:val="center"/>
      </w:pPr>
      <w:r>
        <w:rPr>
          <w:rFonts w:ascii="黑体" w:hAnsi="黑体" w:eastAsia="黑体"/>
          <w:b w:val="0"/>
          <w:color w:val="111827"/>
          <w:sz w:val="21"/>
        </w:rPr>
        <w:t>表 4　留学期间的经费支出结构与大致占比</w:t>
      </w:r>
    </w:p>
    <w:tbl>
      <w:tblPr>
        <w:tblStyle w:val="TableGrid"/>
        <w:tblW w:type="auto" w:w="0"/>
        <w:jc w:val="center"/>
        <w:tblLayout w:type="fixed"/>
        <w:tblLook w:firstColumn="1" w:firstRow="1" w:lastColumn="0" w:lastRow="0" w:noHBand="0" w:noVBand="1" w:val="04A0"/>
        <w:tblLayout w:type="fixed"/>
        <w:tblCellMar>
          <w:top w:w="50" w:type="dxa"/>
          <w:bottom w:w="50" w:type="dxa"/>
          <w:left w:w="100" w:type="dxa"/>
          <w:right w:w="100" w:type="dxa"/>
        </w:tblCellMar>
      </w:tblPr>
      <w:tblGrid>
        <w:gridCol w:w="1746"/>
        <w:gridCol w:w="5238"/>
        <w:gridCol w:w="1746"/>
      </w:tblGrid>
      <w:tr>
        <w:trPr>
          <w:tblHeader/>
          <w:cantSplit/>
        </w:trPr>
        <w:tc>
          <w:tcPr>
            <w:tcW w:type="dxa" w:w="1746"/>
          </w:tcPr>
          <w:p>
            <w:pPr>
              <w:keepNext/>
              <w:keepLines/>
              <w:spacing w:before="0" w:after="0"/>
              <w:jc w:val="center"/>
            </w:pPr>
            <w:r/>
            <w:r>
              <w:rPr>
                <w:rFonts w:ascii="黑体" w:hAnsi="黑体" w:eastAsia="黑体"/>
                <w:b/>
                <w:color w:val="111827"/>
                <w:sz w:val="21"/>
              </w:rPr>
              <w:t>支出项</w:t>
            </w:r>
          </w:p>
        </w:tc>
        <w:tc>
          <w:tcPr>
            <w:tcW w:type="dxa" w:w="5238"/>
          </w:tcPr>
          <w:p>
            <w:pPr>
              <w:keepNext/>
              <w:keepLines/>
              <w:spacing w:before="0" w:after="0"/>
              <w:jc w:val="center"/>
            </w:pPr>
            <w:r/>
            <w:r>
              <w:rPr>
                <w:rFonts w:ascii="黑体" w:hAnsi="黑体" w:eastAsia="黑体"/>
                <w:b/>
                <w:color w:val="111827"/>
                <w:sz w:val="21"/>
              </w:rPr>
              <w:t>用途说明</w:t>
            </w:r>
          </w:p>
        </w:tc>
        <w:tc>
          <w:tcPr>
            <w:tcW w:type="dxa" w:w="1746"/>
          </w:tcPr>
          <w:p>
            <w:pPr>
              <w:keepNext/>
              <w:keepLines/>
              <w:spacing w:before="0" w:after="0"/>
              <w:jc w:val="center"/>
            </w:pPr>
            <w:r/>
            <w:r>
              <w:rPr>
                <w:rFonts w:ascii="黑体" w:hAnsi="黑体" w:eastAsia="黑体"/>
                <w:b/>
                <w:color w:val="111827"/>
                <w:sz w:val="21"/>
              </w:rPr>
              <w:t>大致占比</w:t>
            </w:r>
          </w:p>
        </w:tc>
      </w:tr>
      <w:tr>
        <w:trPr>
          <w:cantSplit/>
        </w:trPr>
        <w:tc>
          <w:tcPr>
            <w:tcW w:type="dxa" w:w="1746"/>
          </w:tcPr>
          <w:p>
            <w:pPr>
              <w:keepNext/>
              <w:keepLines/>
              <w:spacing w:before="0" w:after="0" w:line="276" w:lineRule="auto"/>
            </w:pPr>
            <w:r/>
            <w:r>
              <w:rPr>
                <w:rFonts w:ascii="宋体" w:hAnsi="宋体" w:eastAsia="宋体"/>
                <w:b w:val="0"/>
                <w:color w:val="111827"/>
                <w:sz w:val="21"/>
              </w:rPr>
              <w:t>生活费</w:t>
            </w:r>
          </w:p>
        </w:tc>
        <w:tc>
          <w:tcPr>
            <w:tcW w:type="dxa" w:w="5238"/>
          </w:tcPr>
          <w:p>
            <w:pPr>
              <w:keepNext/>
              <w:keepLines/>
              <w:spacing w:before="0" w:after="0" w:line="276" w:lineRule="auto"/>
              <w:jc w:val="center"/>
            </w:pPr>
            <w:r/>
            <w:r>
              <w:rPr>
                <w:rFonts w:ascii="宋体" w:hAnsi="宋体" w:eastAsia="宋体"/>
                <w:b w:val="0"/>
                <w:color w:val="111827"/>
                <w:sz w:val="21"/>
              </w:rPr>
              <w:t>住宿、饮食、交通、通讯，按当地学生平均水平控制</w:t>
            </w:r>
          </w:p>
        </w:tc>
        <w:tc>
          <w:tcPr>
            <w:tcW w:type="dxa" w:w="1746"/>
          </w:tcPr>
          <w:p>
            <w:pPr>
              <w:keepNext/>
              <w:keepLines/>
              <w:spacing w:before="0" w:after="0" w:line="276" w:lineRule="auto"/>
              <w:jc w:val="center"/>
            </w:pPr>
            <w:r/>
            <w:r>
              <w:rPr>
                <w:rFonts w:ascii="宋体" w:hAnsi="宋体" w:eastAsia="宋体"/>
                <w:b w:val="0"/>
                <w:color w:val="111827"/>
                <w:sz w:val="21"/>
              </w:rPr>
              <w:t>约 70%</w:t>
            </w:r>
          </w:p>
        </w:tc>
      </w:tr>
      <w:tr>
        <w:trPr>
          <w:cantSplit/>
        </w:trPr>
        <w:tc>
          <w:tcPr>
            <w:tcW w:type="dxa" w:w="1746"/>
          </w:tcPr>
          <w:p>
            <w:pPr>
              <w:keepNext/>
              <w:keepLines/>
              <w:spacing w:before="0" w:after="0" w:line="276" w:lineRule="auto"/>
            </w:pPr>
            <w:r/>
            <w:r>
              <w:rPr>
                <w:rFonts w:ascii="宋体" w:hAnsi="宋体" w:eastAsia="宋体"/>
                <w:b w:val="0"/>
                <w:color w:val="111827"/>
                <w:sz w:val="21"/>
              </w:rPr>
              <w:t>注册与杂费</w:t>
            </w:r>
          </w:p>
        </w:tc>
        <w:tc>
          <w:tcPr>
            <w:tcW w:type="dxa" w:w="5238"/>
          </w:tcPr>
          <w:p>
            <w:pPr>
              <w:keepNext/>
              <w:keepLines/>
              <w:spacing w:before="0" w:after="0" w:line="276" w:lineRule="auto"/>
              <w:jc w:val="center"/>
            </w:pPr>
            <w:r/>
            <w:r>
              <w:rPr>
                <w:rFonts w:ascii="宋体" w:hAnsi="宋体" w:eastAsia="宋体"/>
                <w:b w:val="0"/>
                <w:color w:val="111827"/>
                <w:sz w:val="21"/>
              </w:rPr>
              <w:t>学期注册费、学生服务中心费用（含公共交通月票）</w:t>
            </w:r>
          </w:p>
        </w:tc>
        <w:tc>
          <w:tcPr>
            <w:tcW w:type="dxa" w:w="1746"/>
          </w:tcPr>
          <w:p>
            <w:pPr>
              <w:keepNext/>
              <w:keepLines/>
              <w:spacing w:before="0" w:after="0" w:line="276" w:lineRule="auto"/>
              <w:jc w:val="center"/>
            </w:pPr>
            <w:r/>
            <w:r>
              <w:rPr>
                <w:rFonts w:ascii="宋体" w:hAnsi="宋体" w:eastAsia="宋体"/>
                <w:b w:val="0"/>
                <w:color w:val="111827"/>
                <w:sz w:val="21"/>
              </w:rPr>
              <w:t>约 12%</w:t>
            </w:r>
          </w:p>
        </w:tc>
      </w:tr>
      <w:tr>
        <w:trPr>
          <w:cantSplit/>
        </w:trPr>
        <w:tc>
          <w:tcPr>
            <w:tcW w:type="dxa" w:w="1746"/>
          </w:tcPr>
          <w:p>
            <w:pPr>
              <w:keepNext/>
              <w:keepLines/>
              <w:spacing w:before="0" w:after="0" w:line="276" w:lineRule="auto"/>
            </w:pPr>
            <w:r/>
            <w:r>
              <w:rPr>
                <w:rFonts w:ascii="宋体" w:hAnsi="宋体" w:eastAsia="宋体"/>
                <w:b w:val="0"/>
                <w:color w:val="111827"/>
                <w:sz w:val="21"/>
              </w:rPr>
              <w:t>医疗保险</w:t>
            </w:r>
          </w:p>
        </w:tc>
        <w:tc>
          <w:tcPr>
            <w:tcW w:type="dxa" w:w="5238"/>
          </w:tcPr>
          <w:p>
            <w:pPr>
              <w:keepNext/>
              <w:keepLines/>
              <w:spacing w:before="0" w:after="0" w:line="276" w:lineRule="auto"/>
              <w:jc w:val="center"/>
            </w:pPr>
            <w:r/>
            <w:r>
              <w:rPr>
                <w:rFonts w:ascii="宋体" w:hAnsi="宋体" w:eastAsia="宋体"/>
                <w:b w:val="0"/>
                <w:color w:val="111827"/>
                <w:sz w:val="21"/>
              </w:rPr>
              <w:t>法定医疗保险，覆盖门诊、住院与急诊</w:t>
            </w:r>
          </w:p>
        </w:tc>
        <w:tc>
          <w:tcPr>
            <w:tcW w:type="dxa" w:w="1746"/>
          </w:tcPr>
          <w:p>
            <w:pPr>
              <w:keepNext/>
              <w:keepLines/>
              <w:spacing w:before="0" w:after="0" w:line="276" w:lineRule="auto"/>
              <w:jc w:val="center"/>
            </w:pPr>
            <w:r/>
            <w:r>
              <w:rPr>
                <w:rFonts w:ascii="宋体" w:hAnsi="宋体" w:eastAsia="宋体"/>
                <w:b w:val="0"/>
                <w:color w:val="111827"/>
                <w:sz w:val="21"/>
              </w:rPr>
              <w:t>约 8%</w:t>
            </w:r>
          </w:p>
        </w:tc>
      </w:tr>
      <w:tr>
        <w:trPr>
          <w:cantSplit/>
        </w:trPr>
        <w:tc>
          <w:tcPr>
            <w:tcW w:type="dxa" w:w="1746"/>
          </w:tcPr>
          <w:p>
            <w:pPr>
              <w:keepNext/>
              <w:keepLines/>
              <w:spacing w:before="0" w:after="0" w:line="276" w:lineRule="auto"/>
            </w:pPr>
            <w:r/>
            <w:r>
              <w:rPr>
                <w:rFonts w:ascii="宋体" w:hAnsi="宋体" w:eastAsia="宋体"/>
                <w:b w:val="0"/>
                <w:color w:val="111827"/>
                <w:sz w:val="21"/>
              </w:rPr>
              <w:t>书籍与耗材</w:t>
            </w:r>
          </w:p>
        </w:tc>
        <w:tc>
          <w:tcPr>
            <w:tcW w:type="dxa" w:w="5238"/>
          </w:tcPr>
          <w:p>
            <w:pPr>
              <w:keepNext/>
              <w:keepLines/>
              <w:spacing w:before="0" w:after="0" w:line="276" w:lineRule="auto"/>
              <w:jc w:val="center"/>
            </w:pPr>
            <w:r/>
            <w:r>
              <w:rPr>
                <w:rFonts w:ascii="宋体" w:hAnsi="宋体" w:eastAsia="宋体"/>
                <w:b w:val="0"/>
                <w:color w:val="111827"/>
                <w:sz w:val="21"/>
              </w:rPr>
              <w:t>专业书籍、实验耗材、打印与会议材料</w:t>
            </w:r>
          </w:p>
        </w:tc>
        <w:tc>
          <w:tcPr>
            <w:tcW w:type="dxa" w:w="1746"/>
          </w:tcPr>
          <w:p>
            <w:pPr>
              <w:keepNext/>
              <w:keepLines/>
              <w:spacing w:before="0" w:after="0" w:line="276" w:lineRule="auto"/>
              <w:jc w:val="center"/>
            </w:pPr>
            <w:r/>
            <w:r>
              <w:rPr>
                <w:rFonts w:ascii="宋体" w:hAnsi="宋体" w:eastAsia="宋体"/>
                <w:b w:val="0"/>
                <w:color w:val="111827"/>
                <w:sz w:val="21"/>
              </w:rPr>
              <w:t>约 5%</w:t>
            </w:r>
          </w:p>
        </w:tc>
      </w:tr>
      <w:tr>
        <w:trPr>
          <w:cantSplit/>
        </w:trPr>
        <w:tc>
          <w:tcPr>
            <w:tcW w:type="dxa" w:w="1746"/>
          </w:tcPr>
          <w:p>
            <w:pPr>
              <w:spacing w:before="0" w:after="0" w:line="276" w:lineRule="auto"/>
            </w:pPr>
            <w:r/>
            <w:r>
              <w:rPr>
                <w:rFonts w:ascii="宋体" w:hAnsi="宋体" w:eastAsia="宋体"/>
                <w:b w:val="0"/>
                <w:color w:val="111827"/>
                <w:sz w:val="21"/>
              </w:rPr>
              <w:t>国际旅费</w:t>
            </w:r>
          </w:p>
        </w:tc>
        <w:tc>
          <w:tcPr>
            <w:tcW w:type="dxa" w:w="5238"/>
          </w:tcPr>
          <w:p>
            <w:pPr>
              <w:spacing w:before="0" w:after="0" w:line="276" w:lineRule="auto"/>
              <w:jc w:val="center"/>
            </w:pPr>
            <w:r/>
            <w:r>
              <w:rPr>
                <w:rFonts w:ascii="宋体" w:hAnsi="宋体" w:eastAsia="宋体"/>
                <w:b w:val="0"/>
                <w:color w:val="111827"/>
                <w:sz w:val="21"/>
              </w:rPr>
              <w:t>往返机票（按一次往返计）</w:t>
            </w:r>
          </w:p>
        </w:tc>
        <w:tc>
          <w:tcPr>
            <w:tcW w:type="dxa" w:w="1746"/>
          </w:tcPr>
          <w:p>
            <w:pPr>
              <w:spacing w:before="0" w:after="0" w:line="276" w:lineRule="auto"/>
              <w:jc w:val="center"/>
            </w:pPr>
            <w:r/>
            <w:r>
              <w:rPr>
                <w:rFonts w:ascii="宋体" w:hAnsi="宋体" w:eastAsia="宋体"/>
                <w:b w:val="0"/>
                <w:color w:val="111827"/>
                <w:sz w:val="21"/>
              </w:rPr>
              <w:t>约 5%</w:t>
            </w:r>
          </w:p>
        </w:tc>
      </w:tr>
    </w:tbl>
    <w:p>
      <w:pPr>
        <w:spacing w:before="0" w:after="0" w:line="240" w:lineRule="exact"/>
      </w:pPr>
      <w:r>
        <w:rPr>
          <w:rFonts w:ascii="宋体" w:hAnsi="宋体" w:eastAsia="宋体"/>
          <w:b w:val="0"/>
          <w:color w:val="111827"/>
          <w:sz w:val="16"/>
        </w:rPr>
      </w:r>
    </w:p>
    <w:p>
      <w:pPr>
        <w:spacing w:before="0" w:after="120" w:lineRule="auto" w:line="360"/>
        <w:ind w:firstLine="480"/>
      </w:pPr>
      <w:r>
        <w:rPr>
          <w:rFonts w:ascii="宋体" w:hAnsi="宋体" w:eastAsia="宋体"/>
          <w:b w:val="0"/>
          <w:color w:val="111827"/>
          <w:sz w:val="24"/>
        </w:rPr>
        <w:t>我不打算把资助用于与学业无关的支出，也不会通过超时打工补贴生活——那会直接侵蚀研究时间，与本项目的目标相悖。如果出现汇率或物价波动导致的生活压力，我会先压缩非必要开支，并按程序向基金委和使馆教育处报告，而不是自行其是。</w:t>
      </w:r>
    </w:p>
    <w:p>
      <w:pPr>
        <w:spacing w:before="0" w:after="120" w:lineRule="auto" w:line="360"/>
        <w:ind w:firstLine="480"/>
      </w:pPr>
      <w:r>
        <w:rPr>
          <w:rFonts w:ascii="宋体" w:hAnsi="宋体" w:eastAsia="宋体"/>
          <w:b w:val="0"/>
          <w:color w:val="111827"/>
          <w:sz w:val="24"/>
        </w:rPr>
        <w:t>回国服务方面，我的承诺是明确的：学业结束后按期回国，优先进入高校、科研院所或智能装备行业的研发岗位。这不是一句表态，我有具体的落点——目前国内在机器人感知与自主导航方向的产业需求正在快速扩张，我在申请前已与两家国内企业的技术负责人做过交流，了解到他们对「既懂算法又能把设备调起来」的人有真实缺口。</w:t>
      </w:r>
    </w:p>
    <w:p>
      <w:pPr>
        <w:spacing w:before="0" w:after="120" w:lineRule="auto" w:line="360"/>
        <w:ind w:firstLine="480"/>
      </w:pPr>
      <w:r>
        <w:rPr>
          <w:rFonts w:ascii="宋体" w:hAnsi="宋体" w:eastAsia="宋体"/>
          <w:b w:val="0"/>
          <w:color w:val="111827"/>
          <w:sz w:val="24"/>
        </w:rPr>
        <w:t>我也愿意承担回国后的知识扩散义务：把在国外学到的课程材料、实验方法与工具链整理成可共享的文档，回校后为低年级同学做专题分享。这是我在本科阶段就在做的事（整理笔记与开源代码），只是希望把范围扩大。</w:t>
      </w:r>
    </w:p>
    <w:p>
      <w:pPr>
        <w:keepNext/>
        <w:keepLines/>
        <w:spacing w:before="280" w:after="140" w:line="360" w:lineRule="auto"/>
      </w:pPr>
      <w:r>
        <w:rPr>
          <w:rFonts w:ascii="黑体" w:hAnsi="黑体" w:eastAsia="黑体"/>
          <w:b/>
          <w:color w:val="111827"/>
          <w:sz w:val="30"/>
        </w:rPr>
        <w:t>六、回国服务承诺</w:t>
      </w:r>
    </w:p>
    <w:p>
      <w:pPr>
        <w:spacing w:before="0" w:after="120" w:lineRule="auto" w:line="360"/>
        <w:ind w:firstLine="480"/>
      </w:pPr>
      <w:r>
        <w:rPr>
          <w:rFonts w:ascii="宋体" w:hAnsi="宋体" w:eastAsia="宋体"/>
          <w:b w:val="0"/>
          <w:color w:val="111827"/>
          <w:sz w:val="24"/>
        </w:rPr>
        <w:t>本人承诺：学成后按期回国，服务期不少于两年。回国后计划进入高校或科研院所继续从事机器人自主导航方向的研究工作，把在国外学到的系统级验证方法带回国内团队，弥补国内在该方向「算法强、整机弱」的短板。</w:t>
      </w:r>
    </w:p>
    <w:p>
      <w:pPr>
        <w:spacing w:before="0" w:after="120" w:lineRule="auto" w:line="360"/>
        <w:ind w:firstLine="480"/>
      </w:pPr>
      <w:r>
        <w:rPr>
          <w:rFonts w:ascii="宋体" w:hAnsi="宋体" w:eastAsia="宋体"/>
          <w:b w:val="0"/>
          <w:color w:val="111827"/>
          <w:sz w:val="24"/>
        </w:rPr>
        <w:t>关于服务期，我想说清楚我的判断依据，而不只是给一个承诺。这个方向的产业链在国内，应用场景也在国内——低空物流、电网巡检、应急救援，这些场景的规模和复杂度都远超欧洲。在国外做研究，数据与场景都是受限的；回国才有条件把系统真正跑起来。所以回国对我而言不是义务，是更优选择。</w:t>
      </w:r>
    </w:p>
    <w:p>
      <w:pPr>
        <w:spacing w:before="0" w:after="120" w:lineRule="auto" w:line="360"/>
        <w:ind w:firstLine="480"/>
      </w:pPr>
      <w:r>
        <w:rPr>
          <w:rFonts w:ascii="宋体" w:hAnsi="宋体" w:eastAsia="宋体"/>
          <w:b w:val="0"/>
          <w:color w:val="111827"/>
          <w:sz w:val="24"/>
        </w:rPr>
        <w:t>关于回国后的具体去向，我有明确打算：进入高校或科研院所，继续做机器人自主导航方向的研究，把在国外学到的系统级验证方法带回团队。</w:t>
      </w:r>
    </w:p>
    <w:p>
      <w:pPr>
        <w:spacing w:before="0" w:after="120" w:lineRule="auto" w:line="360"/>
        <w:ind w:firstLine="480"/>
      </w:pPr>
      <w:r>
        <w:rPr>
          <w:rFonts w:ascii="宋体" w:hAnsi="宋体" w:eastAsia="宋体"/>
          <w:b w:val="0"/>
          <w:color w:val="111827"/>
          <w:sz w:val="24"/>
        </w:rPr>
        <w:t>国内在这个方向上的现状是「算法强、整机弱」——论文数量与仿真指标都不差，但真正能上机稳定运行的系统不多。原因不是能力问题，而是缺少「把系统跑到失效、再修好」的训练环境与耐心。我希望把这套方法论带回来，而不只是带回一篇论文。</w:t>
      </w:r>
    </w:p>
    <w:p>
      <w:pPr>
        <w:spacing w:before="0" w:after="120" w:lineRule="auto" w:line="360"/>
        <w:ind w:firstLine="480"/>
      </w:pPr>
      <w:r>
        <w:rPr>
          <w:rFonts w:ascii="宋体" w:hAnsi="宋体" w:eastAsia="宋体"/>
          <w:b w:val="0"/>
          <w:color w:val="111827"/>
          <w:sz w:val="24"/>
        </w:rPr>
        <w:t>把承诺画成时间轴，是为了让评审看到「两年服务期」不是一句表态，而是一段有具体节点的安排。</w:t>
      </w:r>
    </w:p>
    <w:p>
      <w:pPr>
        <w:keepNext/>
        <w:keepLines/>
        <w:spacing w:before="160" w:after="60"/>
        <w:jc w:val="center"/>
      </w:pPr>
      <w:r>
        <w:drawing>
          <wp:inline xmlns:a="http://schemas.openxmlformats.org/drawingml/2006/main" xmlns:pic="http://schemas.openxmlformats.org/drawingml/2006/picture">
            <wp:extent cx="5472000" cy="1962694"/>
            <wp:docPr id="4" name="Picture 4"/>
            <wp:cNvGraphicFramePr>
              <a:graphicFrameLocks noChangeAspect="1"/>
            </wp:cNvGraphicFramePr>
            <a:graphic>
              <a:graphicData uri="http://schemas.openxmlformats.org/drawingml/2006/picture">
                <pic:pic>
                  <pic:nvPicPr>
                    <pic:cNvPr id="0" name="21_career_path.png"/>
                    <pic:cNvPicPr/>
                  </pic:nvPicPr>
                  <pic:blipFill>
                    <a:blip r:embed="rId13"/>
                    <a:stretch>
                      <a:fillRect/>
                    </a:stretch>
                  </pic:blipFill>
                  <pic:spPr>
                    <a:xfrm>
                      <a:off x="0" y="0"/>
                      <a:ext cx="5472000" cy="1962694"/>
                    </a:xfrm>
                    <a:prstGeom prst="rect"/>
                  </pic:spPr>
                </pic:pic>
              </a:graphicData>
            </a:graphic>
          </wp:inline>
        </w:drawing>
      </w:r>
    </w:p>
    <w:p>
      <w:pPr>
        <w:keepLines/>
        <w:spacing w:before="0" w:after="200"/>
        <w:jc w:val="center"/>
      </w:pPr>
      <w:r>
        <w:rPr>
          <w:rFonts w:ascii="宋体" w:hAnsi="宋体" w:eastAsia="宋体"/>
          <w:b w:val="0"/>
          <w:color w:val="6B7280"/>
          <w:sz w:val="21"/>
        </w:rPr>
        <w:t>图 4　回国服务期与长期发展路径</w:t>
      </w:r>
    </w:p>
    <w:p>
      <w:pPr>
        <w:spacing w:before="0" w:after="120" w:lineRule="auto" w:line="360"/>
        <w:ind w:firstLine="480"/>
      </w:pPr>
      <w:r>
        <w:rPr>
          <w:rFonts w:ascii="宋体" w:hAnsi="宋体" w:eastAsia="宋体"/>
          <w:b w:val="0"/>
          <w:color w:val="111827"/>
          <w:sz w:val="24"/>
        </w:rPr>
        <w:t>关于服务期的两年，我的理解是它对应一个完整的研究周期：第一年搭平台、带学生，第二年出成果、把方法沉淀成课程或工具链。两年刚好够做完一轮，再长就需要更稳定的团队支持，这也是我希望进入高校或院所而不是短期项目组的原因。</w:t>
      </w:r>
    </w:p>
    <w:p>
      <w:pPr>
        <w:keepNext/>
        <w:keepLines/>
        <w:spacing w:before="280" w:after="140" w:line="360" w:lineRule="auto"/>
      </w:pPr>
      <w:r>
        <w:rPr>
          <w:rFonts w:ascii="黑体" w:hAnsi="黑体" w:eastAsia="黑体"/>
          <w:b/>
          <w:color w:val="111827"/>
          <w:sz w:val="30"/>
        </w:rPr>
        <w:t>七、审核意见</w:t>
      </w:r>
    </w:p>
    <w:tbl>
      <w:tblPr>
        <w:tblStyle w:val="TableGrid"/>
        <w:tblW w:type="auto" w:w="0"/>
        <w:jc w:val="center"/>
        <w:tblLayout w:type="fixed"/>
        <w:tblLook w:firstColumn="1" w:firstRow="1" w:lastColumn="0" w:lastRow="0" w:noHBand="0" w:noVBand="1" w:val="04A0"/>
        <w:tblLayout w:type="fixed"/>
      </w:tblPr>
      <w:tblGrid>
        <w:gridCol w:w="8731"/>
      </w:tblGrid>
      <w:tr>
        <w:trPr>
          <w:cantSplit/>
        </w:trPr>
        <w:tc>
          <w:tcPr>
            <w:tcW w:type="dxa" w:w="8731"/>
          </w:tcPr>
          <w:p>
            <w:pPr>
              <w:spacing w:before="40" w:after="40"/>
              <w:keepNext/>
              <w:keepLines/>
              <w:pBdr>
                <w:bottom w:val="single" w:sz="6" w:space="1" w:color="7A7A7A"/>
              </w:pBdr>
            </w:pPr>
            <w:r>
              <w:rPr>
                <w:rFonts w:ascii="黑体" w:hAnsi="黑体" w:eastAsia="黑体"/>
                <w:b/>
                <w:color w:val="111827"/>
                <w:sz w:val="21"/>
              </w:rPr>
              <w:t>申请人签字</w:t>
            </w:r>
          </w:p>
          <w:p>
            <w:pPr>
              <w:keepNext/>
              <w:keepLines/>
              <w:spacing w:before="0" w:after="0" w:line="1020" w:lineRule="exact"/>
            </w:pPr>
          </w:p>
          <w:p>
            <w:pPr>
              <w:spacing w:before="80" w:after="80"/>
              <w:jc w:val="right"/>
              <w:keepNext/>
              <w:keepLines/>
              <w:pBdr>
                <w:top w:val="single" w:sz="6" w:space="1" w:color="7A7A7A"/>
              </w:pBdr>
            </w:pPr>
            <w:r>
              <w:rPr>
                <w:rFonts w:ascii="宋体" w:hAnsi="宋体" w:eastAsia="宋体"/>
                <w:b w:val="0"/>
                <w:color w:val="6B7280"/>
                <w:sz w:val="21"/>
              </w:rPr>
              <w:t>签字：＿＿＿＿＿＿＿＿　　　日期：　　年　　月　　日</w:t>
            </w:r>
          </w:p>
        </w:tc>
      </w:tr>
      <w:tr>
        <w:trPr>
          <w:cantSplit/>
        </w:trPr>
        <w:tc>
          <w:tcPr>
            <w:tcW w:type="dxa" w:w="8731"/>
          </w:tcPr>
          <w:p>
            <w:pPr>
              <w:spacing w:before="40" w:after="40"/>
              <w:keepNext/>
              <w:keepLines/>
              <w:pBdr>
                <w:bottom w:val="single" w:sz="6" w:space="1" w:color="7A7A7A"/>
              </w:pBdr>
            </w:pPr>
            <w:r>
              <w:rPr>
                <w:rFonts w:ascii="黑体" w:hAnsi="黑体" w:eastAsia="黑体"/>
                <w:b/>
                <w:color w:val="111827"/>
                <w:sz w:val="21"/>
              </w:rPr>
              <w:t>国内导师意见</w:t>
            </w:r>
          </w:p>
          <w:p>
            <w:pPr>
              <w:keepNext/>
              <w:keepLines/>
              <w:spacing w:before="0" w:after="0" w:line="1020" w:lineRule="exact"/>
            </w:pPr>
          </w:p>
          <w:p>
            <w:pPr>
              <w:spacing w:before="80" w:after="80"/>
              <w:jc w:val="right"/>
              <w:keepNext/>
              <w:keepLines/>
              <w:pBdr>
                <w:top w:val="single" w:sz="6" w:space="1" w:color="7A7A7A"/>
              </w:pBdr>
            </w:pPr>
            <w:r>
              <w:rPr>
                <w:rFonts w:ascii="宋体" w:hAnsi="宋体" w:eastAsia="宋体"/>
                <w:b w:val="0"/>
                <w:color w:val="6B7280"/>
                <w:sz w:val="21"/>
              </w:rPr>
              <w:t>签字：＿＿＿＿＿＿＿＿　　　日期：　　年　　月　　日</w:t>
            </w:r>
          </w:p>
        </w:tc>
      </w:tr>
      <w:tr>
        <w:trPr>
          <w:cantSplit/>
        </w:trPr>
        <w:tc>
          <w:tcPr>
            <w:tcW w:type="dxa" w:w="8731"/>
          </w:tcPr>
          <w:p>
            <w:pPr>
              <w:spacing w:before="40" w:after="40"/>
              <w:pBdr>
                <w:bottom w:val="single" w:sz="6" w:space="1" w:color="7A7A7A"/>
              </w:pBdr>
            </w:pPr>
            <w:r>
              <w:rPr>
                <w:rFonts w:ascii="黑体" w:hAnsi="黑体" w:eastAsia="黑体"/>
                <w:b/>
                <w:color w:val="111827"/>
                <w:sz w:val="21"/>
              </w:rPr>
              <w:t>所在单位推荐意见</w:t>
            </w:r>
          </w:p>
          <w:p>
            <w:pPr>
              <w:spacing w:before="0" w:after="0" w:line="1020" w:lineRule="exact"/>
            </w:pPr>
          </w:p>
          <w:p>
            <w:pPr>
              <w:spacing w:before="80" w:after="80"/>
              <w:jc w:val="right"/>
              <w:pBdr>
                <w:top w:val="single" w:sz="6" w:space="1" w:color="7A7A7A"/>
              </w:pBdr>
            </w:pPr>
            <w:r>
              <w:rPr>
                <w:rFonts w:ascii="宋体" w:hAnsi="宋体" w:eastAsia="宋体"/>
                <w:b w:val="0"/>
                <w:color w:val="6B7280"/>
                <w:sz w:val="21"/>
              </w:rPr>
              <w:t>签字：＿＿＿＿＿＿＿＿　　　日期：　　年　　月　　日</w:t>
            </w:r>
          </w:p>
        </w:tc>
      </w:tr>
    </w:tbl>
    <w:p>
      <w:pPr>
        <w:spacing w:before="0" w:after="0" w:line="240" w:lineRule="exact"/>
      </w:pPr>
      <w:r>
        <w:rPr>
          <w:rFonts w:ascii="宋体" w:hAnsi="宋体" w:eastAsia="宋体"/>
          <w:b w:val="0"/>
          <w:color w:val="111827"/>
          <w:sz w:val="16"/>
        </w:rPr>
      </w:r>
    </w:p>
    <w:sectPr w:rsidR="00FC693F" w:rsidRPr="0006063C" w:rsidSect="00034616">
      <w:footerReference w:type="default" r:id="rId9"/>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宋体" w:hAnsi="宋体" w:eastAsia="宋体"/>
        <w:b w:val="0"/>
        <w:color w:val="6B7280"/>
        <w:sz w:val="18"/>
      </w:rPr>
      <w:t xml:space="preserve">第 </w:t>
    </w:r>
    <w:r>
      <w:rPr>
        <w:rFonts w:ascii="宋体" w:hAnsi="宋体" w:eastAsia="宋体"/>
        <w:b w:val="0"/>
        <w:color w:val="6B7280"/>
        <w:sz w:val="18"/>
      </w:rPr>
      <w:fldChar w:fldCharType="begin"/>
    </w:r>
    <w:r>
      <w:rPr>
        <w:rFonts w:ascii="宋体" w:hAnsi="宋体" w:eastAsia="宋体"/>
        <w:b w:val="0"/>
        <w:color w:val="6B7280"/>
        <w:sz w:val="18"/>
      </w:rPr>
      <w:instrText xml:space="preserve"> PAGE </w:instrText>
    </w:r>
    <w:r>
      <w:rPr>
        <w:rFonts w:ascii="宋体" w:hAnsi="宋体" w:eastAsia="宋体"/>
        <w:b w:val="0"/>
        <w:color w:val="6B7280"/>
        <w:sz w:val="18"/>
      </w:rPr>
      <w:fldChar w:fldCharType="separate"/>
    </w:r>
    <w:r>
      <w:rPr>
        <w:rFonts w:ascii="宋体" w:hAnsi="宋体" w:eastAsia="宋体"/>
        <w:b w:val="0"/>
        <w:color w:val="6B7280"/>
        <w:sz w:val="18"/>
      </w:rPr>
      <w:t>1</w:t>
    </w:r>
    <w:r>
      <w:rPr>
        <w:rFonts w:ascii="宋体" w:hAnsi="宋体" w:eastAsia="宋体"/>
        <w:b w:val="0"/>
        <w:color w:val="6B7280"/>
        <w:sz w:val="18"/>
      </w:rPr>
      <w:fldChar w:fldCharType="end"/>
    </w:r>
    <w:r>
      <w:rPr>
        <w:rFonts w:ascii="宋体" w:hAnsi="宋体" w:eastAsia="宋体"/>
        <w:b w:val="0"/>
        <w:color w:val="6B7280"/>
        <w:sz w:val="18"/>
      </w:rPr>
      <w:t xml:space="preserve"> 页　共 </w:t>
    </w:r>
    <w:r>
      <w:rPr>
        <w:rFonts w:ascii="宋体" w:hAnsi="宋体" w:eastAsia="宋体"/>
        <w:b w:val="0"/>
        <w:color w:val="6B7280"/>
        <w:sz w:val="18"/>
      </w:rPr>
      <w:fldChar w:fldCharType="begin"/>
    </w:r>
    <w:r>
      <w:rPr>
        <w:rFonts w:ascii="宋体" w:hAnsi="宋体" w:eastAsia="宋体"/>
        <w:b w:val="0"/>
        <w:color w:val="6B7280"/>
        <w:sz w:val="18"/>
      </w:rPr>
      <w:instrText xml:space="preserve"> NUMPAGES </w:instrText>
    </w:r>
    <w:r>
      <w:rPr>
        <w:rFonts w:ascii="宋体" w:hAnsi="宋体" w:eastAsia="宋体"/>
        <w:b w:val="0"/>
        <w:color w:val="6B7280"/>
        <w:sz w:val="18"/>
      </w:rPr>
      <w:fldChar w:fldCharType="separate"/>
    </w:r>
    <w:r>
      <w:rPr>
        <w:rFonts w:ascii="宋体" w:hAnsi="宋体" w:eastAsia="宋体"/>
        <w:b w:val="0"/>
        <w:color w:val="6B7280"/>
        <w:sz w:val="18"/>
      </w:rPr>
      <w:t>1</w:t>
    </w:r>
    <w:r>
      <w:rPr>
        <w:rFonts w:ascii="宋体" w:hAnsi="宋体" w:eastAsia="宋体"/>
        <w:b w:val="0"/>
        <w:color w:val="6B7280"/>
        <w:sz w:val="18"/>
      </w:rPr>
      <w:fldChar w:fldCharType="end"/>
    </w:r>
    <w:r>
      <w:rPr>
        <w:rFonts w:ascii="宋体" w:hAnsi="宋体" w:eastAsia="宋体"/>
        <w:b w:val="0"/>
        <w:color w:val="6B72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