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TAM / SAM / SOM 三层市场规模与测算依据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2.4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真正的利润在数据驱动的农资集采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关键假设在基准与悲观情景下对 TAM 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「收入来源」这一格也经历过调整。最初只做服务费，单亩毛利 2.3 元，扣除飞手成本后几乎不赚钱。加入农资集采佣金后，单亩综合毛利提升到 5.8 元，这才让模型跑得通。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收入来自订阅而非单次作业，这一点在交付流程上体现得很直接：客户按生长季订 4 次以上，我们就能把航线与地块档案复用，第二季度的边际成本显著低于第一季。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靠农资集采赚钱，这是模型的真正结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五年财务预测（单位：万元）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五年财务指标预测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10.6%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9.2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15%（排班优化）、农资集采渗透率从 8% 提升至 25%。敏感性分析显示，即使服务价格降幅扩大到 10%，第 5 年净利仍有 214 万元，模型具备一定安全边际。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敏感性分析：关键变量对第 5 年净利的影响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成本分固定与可变两部分。固定成本主要是设备折旧与团队薪酬，首年约 62 万元；可变成本随服务面积线性增长，单亩约 4.4 元。这意味着规模越大、毛利率越高，但前提是设备利用率跟得上。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现金流关键节点与当月净流入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5.2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财务模型的核心假设与取值依据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其中「集采渗透率」是最不确定的一项，也是净利的主要来源。若最终只做到 15%，第 5 年净利降至 228 万元，模型仍然成立；但若低于 8%，项目就退化为一家薄利的服务队，失去投资价值。这是本轮融资需要向投资人明确说明的风险点。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财务模型从单亩算起。8 元/亩·次的收入结构能否成立，取决于四块成本能否被压到 4.4 元以内。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这也是我们对「价格战」的回应：如果同行把价格压到 6 元，单亩毛利只剩 1.6 元，就必须靠极大规模摊薄固定成本才能活；我们不打算走这条路，而是靠数据服务把单价做上去。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股权，资金用途如下：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7　本轮融资用途与金额分配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8　股权结构与各方角色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12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org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核心团队组织架构与人员缺口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9　核心团队成员、过往经历与投入方式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10　主要风险的触发条件与应对预案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11　社会效益的具体表现与测算口径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