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 的核心思路是把检测框按置信度分为高低两组，高分组用于建立轨迹，低分组用于补充匹配，从而在遮挡时保留轨迹连续性。这一设计在 MOT17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预期成果的内容与考核指标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研究条件的现有情况与满足度评级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主要风险的触发信号、影响与止损措施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文献检索说明：检索式以 multi-object tracking、data association、occlusion recovery 三组主题词组合，检得 168 篇，精读 62 篇。第 1、2、5、6 篇是关联环节的四条主要技术路线（纯 IoU、IoU + 相机补偿、强特征重识别、观测中心化），第 4 篇是 DeepSORT 的原始出处，第 3 篇给出评测基准与标注口径，第 7 篇是 MOTA / IDF1 指标的定义来源，第 8 篇用于确认边缘盒子接入既有监控系统的合规边界。正文中凡提到「已有工作」均指以上文献，不作泛称。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Zhang Y, Sun P, Jiang Y, et al. ByteTrack: Multi-Object Tracking by Associating Every Detection Box[C]. Proceedings of the European Conference on Computer Vision (ECCV), 2022: 1-21.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Aharon N, Orfaig R, Bobrovsky B Z. BoT-SORT: Robust Associations Multi-Pedestrian Tracking[J]. arXiv preprint arXiv:2206.14651, 2022.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Milan A, Leal-Taixé L, Reid I, et al. MOT16: A Benchmark for Multi-Object Tracking[J]. arXiv preprint arXiv:1603.00831,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Wojke N, Bewley A, Paulus D. Simple Online and Realtime Tracking with a Deep Association Metric[C]. Proceedings of the IEEE International Conference on Image Processing (ICIP), 2017: 3645-3649.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Du Y, Zhao Z, Song Y, et al. StrongSORT: Make DeepSORT Great Again[J]. IEEE Transactions on Multimedia, 2023, 25: 8725-8737.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Cao J, Pang J, Weng X, et al. Observation-Centric SORT: Rethinking SORT for Robust Multi-Object Tracking[C]. Proceedings of the IEEE/CVF Conference on Computer Vision and Pattern Recognition (CVPR), 2023: 9686-9696.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Bernardin K, Stiefelhagen R. Evaluating Multiple Object Tracking Performance: The CLEAR MOT Metrics[J]. EURASIP Journal on Image and Video Processing, 2008, 2008: 246309.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全国安全防范报警系统标准化技术委员会. 安全防范视频监控人脸识别系统技术要求：GB/T 31488—2015[S]. 北京: 中国标准出版社, 2015.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