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MobileNetV3[1]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[3]而选择通道剪枝[2]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篇。[1][4] 确定了骨干网络的选择，[2] 是剪枝方案的主要依据，[3] 用于说明本项目为何不采用蒸馏路线，[5] 作为精度上界的参照，[6] 提供了公开的垃圾图像数据基线，[7][8] 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2551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2551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基于轻量级神经网络的校园垃圾分类识别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