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exact" w:line="3969"/>
      </w:pPr>
      <w:r/>
    </w:p>
    <w:p>
      <w:pPr>
        <w:spacing w:after="200"/>
        <w:jc w:val="center"/>
      </w:pPr>
      <w:r>
        <w:rPr>
          <w:rFonts w:ascii="黑体" w:hAnsi="黑体" w:eastAsia="黑体"/>
          <w:b/>
          <w:color w:val="111827"/>
          <w:sz w:val="44"/>
        </w:rPr>
        <w:t>2026 届</w:t>
      </w:r>
    </w:p>
    <w:p>
      <w:pPr>
        <w:spacing w:after="680"/>
        <w:jc w:val="center"/>
      </w:pPr>
      <w:r>
        <w:rPr>
          <w:rFonts w:ascii="黑体" w:hAnsi="黑体" w:eastAsia="黑体"/>
          <w:b/>
          <w:color w:val="111827"/>
          <w:sz w:val="52"/>
        </w:rPr>
        <w:t>优秀毕业生申报书</w:t>
      </w:r>
    </w:p>
    <w:p>
      <w:pPr>
        <w:spacing w:after="160"/>
        <w:jc w:val="center"/>
      </w:pPr>
      <w:r>
        <w:rPr>
          <w:rFonts w:ascii="黑体" w:hAnsi="黑体" w:eastAsia="黑体"/>
          <w:b/>
          <w:color w:val="111827"/>
          <w:sz w:val="32"/>
        </w:rPr>
        <w:t>优秀毕业生申请材料</w:t>
      </w:r>
    </w:p>
    <w:p>
      <w:pPr>
        <w:spacing w:after="1120"/>
        <w:jc w:val="center"/>
      </w:pPr>
      <w:r>
        <w:rPr>
          <w:rFonts w:ascii="宋体" w:hAnsi="宋体" w:eastAsia="宋体"/>
          <w:b w:val="0"/>
          <w:color w:val="6B7280"/>
          <w:sz w:val="24"/>
        </w:rPr>
        <w:t>申请人：李　明　｜　智能科学与技术学院　｜　计算机科学与技术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123"/>
      </w:tblGrid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姓　　名：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李　明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政治面貌：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中共预备党员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专业排名：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2 / 126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毕业去向：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推免至 ××大学 攻读硕士学位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获奖层次：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国家级 2 项、省级 3 项、校级 6 项</w:t>
            </w:r>
          </w:p>
        </w:tc>
      </w:tr>
    </w:tbl>
    <w:p>
      <w:r>
        <w:br w:type="page"/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一、个人基本情况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四年间在学业、科研、竞赛、社会实践与学生工作五条线上持续推进，专业排名稳定在前 2%，获国家奖学金、校级特等奖学金等荣誉 11 项，毕业去向为推免至 ××大学计算机学院攻读学术型硕士。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四年时间，我把自己从「会考试的学生」变成了「能做完整项目的人」。这个转变的起点是大二的一次实验室开放日——那天我第一次知道，课程设计里那些玩具级的算法，在真实设备上会因为一个几十毫秒的延迟而失效。从那以后，我的精力重心从刷绩点转向了做项目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回头看，绩点这件事我没有放松，但它从目标变成了结果。真正让我成长的是三次失败：一次是算法实机上失效，一次是竞赛期间模型假设没定清楚导致返工，一次是带班级搞学风建设时想当然地开会而没人来。这三次失败各自教会我一件事——想清楚边界、先定假设、先理解人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如果用一句话概括这四年，是「从一个只会学习的人，变成一个能解决问题的人」。刚入学时我的目标是保研，路径很清晰：把绩点刷高。大二进实验室之后，目标变了——我发现真正难的不是考试，而是让一个东西在真实世界里跑起来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这个转变的代价是绩点一度下滑。大二上学期因为我花太多时间调一个总也跑不通的算法，加权均分从上学期的高点掉了下来。当时确实焦虑过，但现在看，那段时间学到的东西比多考几分重要得多。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二、成长历程</w:t>
      </w:r>
    </w:p>
    <w:p>
      <w:pPr>
        <w:keepNext/>
        <w:keepLines/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从入学时的专业第三，到稳定在前 1.6%，再到获得推免资格，四年关键节点如图 1 所示：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1778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time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778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1　本科四年成长时间轴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成绩的曲线能说明一部分问题。大一上均分 89.2、排名第 7，到大二下升到 93.1、排名第 2，之后稳定在前 2。这个变化来自一个具体的认知转变：工科课程之间有依赖链，把基础课真正学懂，后面的课就变成了「换个说法讲同一件事」（见图 2）。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182524" cy="252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grad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82524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2　六个学期加权均分与专业排名走势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但我不认为成绩是这四年最重要的收获。真正改变我的是三件事：第一次进实验室发现仿真与实机的差距、第一次带队做竞赛时因为假设没定清楚而返工、第一次组织班级活动时发现「通知发出去」和「人真的会来」是两回事。这三件事教会我的东西，绩点反映不出来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三、德智体美劳五维度实绩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1　德智体美劳五个维度的主要实绩与佐证材料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143"/>
        <w:gridCol w:w="4365"/>
        <w:gridCol w:w="3222"/>
      </w:tblGrid>
      <w:tr>
        <w:trPr>
          <w:tblHeader/>
          <w:cantSplit/>
        </w:trPr>
        <w:tc>
          <w:tcPr>
            <w:tcW w:type="dxa" w:w="1143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维度</w:t>
            </w:r>
          </w:p>
        </w:tc>
        <w:tc>
          <w:tcPr>
            <w:tcW w:type="dxa" w:w="4365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主要实绩</w:t>
            </w:r>
          </w:p>
        </w:tc>
        <w:tc>
          <w:tcPr>
            <w:tcW w:type="dxa" w:w="3222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佐证材料</w:t>
            </w:r>
          </w:p>
        </w:tc>
      </w:tr>
      <w:tr>
        <w:trPr>
          <w:cantSplit/>
        </w:trPr>
        <w:tc>
          <w:tcPr>
            <w:tcW w:type="dxa" w:w="114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德</w:t>
            </w:r>
          </w:p>
        </w:tc>
        <w:tc>
          <w:tcPr>
            <w:tcW w:type="dxa" w:w="436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中共预备党员；志愿服务 320 小时</w:t>
            </w:r>
          </w:p>
        </w:tc>
        <w:tc>
          <w:tcPr>
            <w:tcW w:type="dxa" w:w="322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志愿汇记录</w:t>
            </w:r>
          </w:p>
        </w:tc>
      </w:tr>
      <w:tr>
        <w:trPr>
          <w:cantSplit/>
        </w:trPr>
        <w:tc>
          <w:tcPr>
            <w:tcW w:type="dxa" w:w="114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智</w:t>
            </w:r>
          </w:p>
        </w:tc>
        <w:tc>
          <w:tcPr>
            <w:tcW w:type="dxa" w:w="436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加权均分 91.7，专业第 2；SCI 论文 1 篇</w:t>
            </w:r>
          </w:p>
        </w:tc>
        <w:tc>
          <w:tcPr>
            <w:tcW w:type="dxa" w:w="322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成绩单、论文录用函</w:t>
            </w:r>
          </w:p>
        </w:tc>
      </w:tr>
      <w:tr>
        <w:trPr>
          <w:cantSplit/>
        </w:trPr>
        <w:tc>
          <w:tcPr>
            <w:tcW w:type="dxa" w:w="114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体</w:t>
            </w:r>
          </w:p>
        </w:tc>
        <w:tc>
          <w:tcPr>
            <w:tcW w:type="dxa" w:w="436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校运会 4×100 米接力第三名</w:t>
            </w:r>
          </w:p>
        </w:tc>
        <w:tc>
          <w:tcPr>
            <w:tcW w:type="dxa" w:w="322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获奖证书</w:t>
            </w:r>
          </w:p>
        </w:tc>
      </w:tr>
      <w:tr>
        <w:trPr>
          <w:cantSplit/>
        </w:trPr>
        <w:tc>
          <w:tcPr>
            <w:tcW w:type="dxa" w:w="114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美</w:t>
            </w:r>
          </w:p>
        </w:tc>
        <w:tc>
          <w:tcPr>
            <w:tcW w:type="dxa" w:w="436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校园文化节摄影作品入展</w:t>
            </w:r>
          </w:p>
        </w:tc>
        <w:tc>
          <w:tcPr>
            <w:tcW w:type="dxa" w:w="322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入展证明</w:t>
            </w:r>
          </w:p>
        </w:tc>
      </w:tr>
      <w:tr>
        <w:trPr>
          <w:cantSplit/>
        </w:trPr>
        <w:tc>
          <w:tcPr>
            <w:tcW w:type="dxa" w:w="114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劳</w:t>
            </w:r>
          </w:p>
        </w:tc>
        <w:tc>
          <w:tcPr>
            <w:tcW w:type="dxa" w:w="436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实验室安全员 2 年，无安全事故</w:t>
            </w:r>
          </w:p>
        </w:tc>
        <w:tc>
          <w:tcPr>
            <w:tcW w:type="dxa" w:w="322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聘任文件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综合六个维度的自评结果与同专业平均水平对比，专业成绩、学生工作与竞赛获奖是相对优势项（见图 3）。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2294199" cy="25199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rada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94199" cy="251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3　综合素质六维对比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五维度里我最看重的是「劳」这一项。实验室安全员做了两年，没有任何事故，这件事听起来平淡，但它意味着七百多天里每天检查气瓶、巡查电路、提醒同学戴护目镜。学生工作里最有价值的往往不是组织活动，而是这种不出事的日常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「体」是我大一时最弱的一项。入学体测 1000 米跑了 4 分 20 秒，勉强及格。大二开始每周三次长跑，现在稳定在 3 分 42 秒，校运会 4×100 米接力拿到第三名。这件事让我确信，身体素质是可以靠训练改变的，前提是别指望速成。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体育这一项我原本最弱。大一体测 1000 米跑了 4 分 12 秒，在班里排倒数。后来给自己定了「每周三次、每次不低于 30 分钟」的底线，从慢跑开始，到大二下能稳定跑进 3 分 40 秒，体测总分从 62 分提到 81 分。这件事对我的意义不在分数，而在于证明「基础差是可以靠规律训练补上的」，这个认知后来被我原样搬到了算法训练上。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美育与人文方面，我在校报做过两年技术类稿件编辑，累计发表 14 篇科普短文，其中《为什么你的电脑越用越慢》一篇被校内公众号转载，阅读量 1.2 万。写科普逼我把「我以为我懂了」的地方重新想一遍——很多技术细节，写得出来才算真懂。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劳动教育方面，我连续三年参加学院机房义务维护，累计工时 96 小时，负责 3 间机房 120 台机器的系统重装与软件环境配置。这件事让我第一次体会到「把事情做成」和「把事情做规范」的差别：前两年我靠手工一台台装，第三年我写了一个批量部署脚本，把单间机房的处理时间从 6 小时压到 40 分钟。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四、毕业去向与展望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已获得 ××大学计算机学院学术型硕士推免资格，研究方向为机器人感知与自主导航。计划在研究生阶段继续深造动态环境下的自主决策问题，长期目标是进入相关领域从事研究工作。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选择继续读研而不是直接工作，是因为我在实机测试里反复遇到同一个瓶颈：知道现象，说不清原因。我能观察到感知延迟导致性能下降，但没有工具去量化「延迟多少毫秒会让成功率掉几个点」这种关系。我希望能用三年时间补上这套分析能力，而不是继续做「调参工程师」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未来五年的规划分两段。研究生三年，重点补理论与系统能力——目标是能独立完成一个从建模、算法到实机验证的完整闭环，而不是只会其中一段。毕业后两年，希望进入相关领域的企业或院所，把研究做成真正能用的东西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长期看，我想做的是「让机器在不确定环境里可靠地自己走」这件事。这个方向不新，但离真正好用还有很长的距离。我愿意在这个问题上花十年，而不是每年换一个热点。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关于「优秀」这件事，我的理解比较朴素：不是把所有指标都做到最好，而是在自己选定的方向上，做到「别人愿意来找你帮忙」的程度。我们班有同学绩点比我高，也有同学社会活动比我多，但在「无人机怎么调」这个问题上，同学会来问我——这让我觉得自己的四年没有白过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推免方向选择了机器人感知与自主导航，不是因为它是热点，而是因为我在无人机路径规划项目里第一次遇到「算法在仿真里很漂亮、一到实机就崩」的落差，这个落差至今没被完全解决，我想接着往下做。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硕士阶段的具体打算是三条：一是把多传感器标定与时间同步这套基本功练扎实，这是所有感知工作的地基；二是在一个公开基准上做出可复现的改进，而不是只在自采数据上刷指标；三是至少完成一次真机部署，把实验室的东西推到有风、有振动、有延迟的环境里跑一遍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更长一点看，我希望毕业后进入机器人或智能装备行业做工程落地，把「论文里的方法」变成「产线上的设备」。这四年我最大的收获不是绩点，而是知道自己适合做那种需要长期打磨、短期看不到成果的事。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五、结语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写这份材料的时候，我把四年的成绩单、获奖证书、项目文档都翻了一遍。有意思的是，让我最有触动的不是那张 91.7 分的成绩单，而是一份大二时写的、被导师批注了 27 处「逻辑不清」的开题报告。那份报告现在看确实很差，但它是我第一次认真对待一个问题的起点。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如果一定要给这四年一个评价，我希望是「持续在变好」。大一时我不知道自己想要什么，大三时我知道了，并且已经在做。这个转变比任何一张证书都重要。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以上情况属实，请学院审核。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六、审核意见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731"/>
      </w:tblGrid>
      <w:tr>
        <w:trPr>
          <w:cantSplit/>
        </w:trPr>
        <w:tc>
          <w:tcPr>
            <w:tcW w:type="dxa" w:w="8731"/>
          </w:tcPr>
          <w:p>
            <w:pPr>
              <w:spacing w:before="40" w:after="40"/>
              <w:keepNext/>
              <w:keepLines/>
              <w:pBdr>
                <w:bottom w:val="single" w:sz="6" w:space="1" w:color="7A7A7A"/>
              </w:pBdr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申请人签字</w:t>
            </w:r>
          </w:p>
          <w:p>
            <w:pPr>
              <w:keepNext/>
              <w:keepLines/>
              <w:spacing w:before="0" w:after="0" w:line="3175" w:lineRule="exact"/>
            </w:pPr>
          </w:p>
          <w:p>
            <w:pPr>
              <w:spacing w:before="80" w:after="80"/>
              <w:jc w:val="right"/>
              <w:keepNext/>
              <w:keepLines/>
              <w:pBdr>
                <w:top w:val="single" w:sz="6" w:space="1" w:color="7A7A7A"/>
              </w:pBdr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  <w:tr>
        <w:trPr>
          <w:cantSplit/>
        </w:trPr>
        <w:tc>
          <w:tcPr>
            <w:tcW w:type="dxa" w:w="8731"/>
          </w:tcPr>
          <w:p>
            <w:pPr>
              <w:spacing w:before="40" w:after="40"/>
              <w:pBdr>
                <w:bottom w:val="single" w:sz="6" w:space="1" w:color="7A7A7A"/>
              </w:pBdr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学院审核意见</w:t>
            </w:r>
          </w:p>
          <w:p>
            <w:pPr>
              <w:spacing w:before="0" w:after="0" w:line="3175" w:lineRule="exact"/>
            </w:pPr>
          </w:p>
          <w:p>
            <w:pPr>
              <w:spacing w:before="80" w:after="80"/>
              <w:jc w:val="right"/>
              <w:pBdr>
                <w:top w:val="single" w:sz="6" w:space="1" w:color="7A7A7A"/>
              </w:pBdr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sectPr w:rsidR="00FC693F" w:rsidRPr="0006063C" w:rsidSect="00034616">
      <w:footerReference w:type="default" r:id="rId9"/>
      <w:pgSz w:w="11906" w:h="16838"/>
      <w:pgMar w:top="1440" w:right="1474" w:bottom="1440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宋体" w:hAnsi="宋体" w:eastAsia="宋体"/>
        <w:b w:val="0"/>
        <w:color w:val="6B7280"/>
        <w:sz w:val="18"/>
      </w:rPr>
      <w:t xml:space="preserve">第 </w:t>
    </w:r>
    <w:r>
      <w:rPr>
        <w:rFonts w:ascii="宋体" w:hAnsi="宋体" w:eastAsia="宋体"/>
        <w:b w:val="0"/>
        <w:color w:val="6B7280"/>
        <w:sz w:val="18"/>
      </w:rPr>
      <w:fldChar w:fldCharType="begin"/>
    </w:r>
    <w:r>
      <w:rPr>
        <w:rFonts w:ascii="宋体" w:hAnsi="宋体" w:eastAsia="宋体"/>
        <w:b w:val="0"/>
        <w:color w:val="6B7280"/>
        <w:sz w:val="18"/>
      </w:rPr>
      <w:instrText xml:space="preserve"> PAGE </w:instrText>
    </w:r>
    <w:r>
      <w:rPr>
        <w:rFonts w:ascii="宋体" w:hAnsi="宋体" w:eastAsia="宋体"/>
        <w:b w:val="0"/>
        <w:color w:val="6B7280"/>
        <w:sz w:val="18"/>
      </w:rPr>
      <w:fldChar w:fldCharType="separate"/>
    </w:r>
    <w:r>
      <w:rPr>
        <w:rFonts w:ascii="宋体" w:hAnsi="宋体" w:eastAsia="宋体"/>
        <w:b w:val="0"/>
        <w:color w:val="6B7280"/>
        <w:sz w:val="18"/>
      </w:rPr>
      <w:t>1</w:t>
    </w:r>
    <w:r>
      <w:rPr>
        <w:rFonts w:ascii="宋体" w:hAnsi="宋体" w:eastAsia="宋体"/>
        <w:b w:val="0"/>
        <w:color w:val="6B7280"/>
        <w:sz w:val="18"/>
      </w:rPr>
      <w:fldChar w:fldCharType="end"/>
    </w:r>
    <w:r>
      <w:rPr>
        <w:rFonts w:ascii="宋体" w:hAnsi="宋体" w:eastAsia="宋体"/>
        <w:b w:val="0"/>
        <w:color w:val="6B7280"/>
        <w:sz w:val="18"/>
      </w:rPr>
      <w:t xml:space="preserve"> 页　共 </w:t>
    </w:r>
    <w:r>
      <w:rPr>
        <w:rFonts w:ascii="宋体" w:hAnsi="宋体" w:eastAsia="宋体"/>
        <w:b w:val="0"/>
        <w:color w:val="6B7280"/>
        <w:sz w:val="18"/>
      </w:rPr>
      <w:fldChar w:fldCharType="begin"/>
    </w:r>
    <w:r>
      <w:rPr>
        <w:rFonts w:ascii="宋体" w:hAnsi="宋体" w:eastAsia="宋体"/>
        <w:b w:val="0"/>
        <w:color w:val="6B7280"/>
        <w:sz w:val="18"/>
      </w:rPr>
      <w:instrText xml:space="preserve"> NUMPAGES </w:instrText>
    </w:r>
    <w:r>
      <w:rPr>
        <w:rFonts w:ascii="宋体" w:hAnsi="宋体" w:eastAsia="宋体"/>
        <w:b w:val="0"/>
        <w:color w:val="6B7280"/>
        <w:sz w:val="18"/>
      </w:rPr>
      <w:fldChar w:fldCharType="separate"/>
    </w:r>
    <w:r>
      <w:rPr>
        <w:rFonts w:ascii="宋体" w:hAnsi="宋体" w:eastAsia="宋体"/>
        <w:b w:val="0"/>
        <w:color w:val="6B7280"/>
        <w:sz w:val="18"/>
      </w:rPr>
      <w:t>1</w:t>
    </w:r>
    <w:r>
      <w:rPr>
        <w:rFonts w:ascii="宋体" w:hAnsi="宋体" w:eastAsia="宋体"/>
        <w:b w:val="0"/>
        <w:color w:val="6B7280"/>
        <w:sz w:val="18"/>
      </w:rPr>
      <w:fldChar w:fldCharType="end"/>
    </w:r>
    <w:r>
      <w:rPr>
        <w:rFonts w:ascii="宋体" w:hAnsi="宋体" w:eastAsia="宋体"/>
        <w:b w:val="0"/>
        <w:color w:val="6B728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优秀毕业生申请材料</dc:title>
  <dc:subject>优秀毕业生申报书</dc:subject>
  <dc:creator>示例文档</dc:creator>
  <cp:keywords>学生申报书; 示例; 排版规范</cp:keywords>
  <dc:description>虚构示例，仅用于展示申报书排版与图表规范</dc:description>
  <cp:lastModifiedBy>示例文档</cp:lastModifiedBy>
  <cp:revision>1</cp:revision>
  <dcterms:created xsi:type="dcterms:W3CDTF">2013-12-23T23:15:00Z</dcterms:created>
  <dcterms:modified xsi:type="dcterms:W3CDTF">2013-12-23T23:15:00Z</dcterms:modified>
  <cp:category/>
</cp:coreProperties>
</file>