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ByteTrack[1] 的核心思路是把检测框按置信度分为高低两组，高分组用于建立轨迹，低分组用于补充匹配，从而在遮挡时保留轨迹连续性。这一设计在 MOT17[3]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BoT-SORT[2]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1.3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预期成果的内容与考核指标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研究条件的现有情况与满足度评级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主要风险的触发信号、影响与止损措施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文献检索说明：检索式以 multi-object tracking、data association、occlusion recovery 三组主题词组合，检得 168 篇，精读 62 篇。[1][2][5][6] 是关联环节的四条主要技术路线（纯 IoU、IoU + 相机补偿、强特征重识别、观测中心化），[4] 是 DeepSORT 的原始出处，[3] 给出评测基准与标注口径，[7] 是 MOTA / IDF1 指标的定义来源，[8] 用于确认边缘盒子接入既有监控系统的合规边界。正文中凡提到「已有工作」均指以上文献，不作泛称。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Zhang Y, Sun P, Jiang Y, et al. ByteTrack: Multi-Object Tracking by Associating Every Detection Box[C]. Proceedings of the European Conference on Computer Vision (ECCV), 2022: 1-21.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Aharon N, Orfaig R, Bobrovsky B Z. BoT-SORT: Robust Associations Multi-Pedestrian Tracking[J]. arXiv preprint arXiv:2206.14651, 2022.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Milan A, Leal-Taixé L, Reid I, et al. MOT16: A Benchmark for Multi-Object Tracking[J]. arXiv preprint arXiv:1603.00831,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Wojke N, Bewley A, Paulus D. Simple Online and Realtime Tracking with a Deep Association Metric[C]. Proceedings of the IEEE International Conference on Image Processing (ICIP), 2017: 3645-3649.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Du Y, Zhao Z, Song Y, et al. StrongSORT: Make DeepSORT Great Again[J]. IEEE Transactions on Multimedia, 2023, 25: 8725-8737.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Cao J, Pang J, Weng X, et al. Observation-Centric SORT: Rethinking SORT for Robust Multi-Object Tracking[C]. Proceedings of the IEEE/CVF Conference on Computer Vision and Pattern Recognition (CVPR), 2023: 9686-9696.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Bernardin K, Stiefelhagen R. Evaluating Multiple Object Tracking Performance: The CLEAR MOT Metrics[J]. EURASIP Journal on Image and Video Processing, 2008, 2008: 246309.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全国安全防范报警系统标准化技术委员会. 安全防范视频监控人脸识别系统技术要求：GB/T 31488—2015[S]. 北京: 中国标准出版社, 2015.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面向校园场景的多目标跟踪算法研究</dc:title>
  <dc:subject>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