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402"/>
      </w:pPr>
      <w:r/>
    </w:p>
    <w:p>
      <w:pPr>
        <w:spacing w:after="480"/>
        <w:jc w:val="center"/>
      </w:pPr>
      <w:r>
        <w:rPr>
          <w:rFonts w:ascii="黑体" w:hAnsi="黑体" w:eastAsia="黑体"/>
          <w:b/>
          <w:color w:val="B91C1C"/>
          <w:sz w:val="60"/>
        </w:rPr>
        <w:t>第十八届「挑战杯」全国大学生课外学术科技作品竞赛</w:t>
      </w:r>
    </w:p>
    <w:p>
      <w:pPr>
        <w:spacing w:after="680"/>
        <w:jc w:val="center"/>
      </w:pPr>
      <w:r>
        <w:rPr>
          <w:rFonts w:ascii="黑体" w:hAnsi="黑体" w:eastAsia="黑体"/>
          <w:b/>
          <w:color w:val="111827"/>
          <w:sz w:val="52"/>
        </w:rPr>
        <w:t>作品申报书</w:t>
      </w:r>
    </w:p>
    <w:p>
      <w:pPr>
        <w:spacing w:after="160"/>
        <w:jc w:val="center"/>
      </w:pPr>
      <w:r>
        <w:rPr>
          <w:rFonts w:ascii="黑体" w:hAnsi="黑体" w:eastAsia="黑体"/>
          <w:b/>
          <w:color w:val="111827"/>
          <w:sz w:val="32"/>
        </w:rPr>
        <w:t>面向动态障碍环境的无人机自主路径规划方法研究</w:t>
      </w:r>
    </w:p>
    <w:p>
      <w:pPr>
        <w:spacing w:after="1120"/>
        <w:jc w:val="center"/>
      </w:pPr>
      <w:r>
        <w:rPr>
          <w:rFonts w:ascii="宋体" w:hAnsi="宋体" w:eastAsia="宋体"/>
          <w:b w:val="0"/>
          <w:color w:val="6B7280"/>
          <w:sz w:val="24"/>
        </w:rPr>
        <w:t>—— 基于滚动时域与动态代价函数的改进 A* 算法</w:t>
      </w:r>
    </w:p>
    <w:tbl>
      <w:tblPr>
        <w:tblW w:type="auto" w:w="0"/>
        <w:jc w:val="center"/>
        <w:tblLayout w:type="fixed"/>
        <w:tblLook w:firstColumn="1" w:firstRow="1" w:lastColumn="0" w:lastRow="0" w:noHBand="0" w:noVBand="1" w:val="04A0"/>
        <w:tblLayout w:type="fixed"/>
      </w:tblPr>
      <w:tblGrid>
        <w:gridCol w:w="2608"/>
        <w:gridCol w:w="6123"/>
      </w:tblGrid>
      <w:tr>
        <w:trPr>
          <w:cantSplit/>
        </w:trPr>
        <w:tc>
          <w:tcPr>
            <w:tcW w:type="dxa" w:w="2608"/>
          </w:tcPr>
          <w:p>
            <w:pPr>
              <w:spacing w:before="0" w:after="0"/>
              <w:jc w:val="right"/>
            </w:pPr>
            <w:r>
              <w:rPr>
                <w:rFonts w:ascii="宋体" w:hAnsi="宋体" w:eastAsia="宋体"/>
                <w:b w:val="0"/>
                <w:color w:val="111827"/>
                <w:sz w:val="24"/>
              </w:rPr>
              <w:t>作品类别：</w:t>
            </w:r>
          </w:p>
        </w:tc>
        <w:tc>
          <w:tcPr>
            <w:tcW w:type="dxa" w:w="6123"/>
          </w:tcPr>
          <w:p>
            <w:pPr>
              <w:spacing w:before="0" w:after="0"/>
              <w:jc w:val="left"/>
            </w:pPr>
            <w:r>
              <w:rPr>
                <w:rFonts w:ascii="宋体" w:hAnsi="宋体" w:eastAsia="宋体"/>
                <w:b w:val="0"/>
                <w:color w:val="111827"/>
                <w:sz w:val="24"/>
              </w:rPr>
              <w:t>科技发明制作 B 类</w:t>
            </w:r>
          </w:p>
        </w:tc>
      </w:tr>
      <w:tr>
        <w:trPr>
          <w:cantSplit/>
        </w:trPr>
        <w:tc>
          <w:tcPr>
            <w:tcW w:type="dxa" w:w="2608"/>
          </w:tcPr>
          <w:p>
            <w:pPr>
              <w:spacing w:before="0" w:after="0"/>
              <w:jc w:val="right"/>
            </w:pPr>
            <w:r>
              <w:rPr>
                <w:rFonts w:ascii="宋体" w:hAnsi="宋体" w:eastAsia="宋体"/>
                <w:b w:val="0"/>
                <w:color w:val="111827"/>
                <w:sz w:val="24"/>
              </w:rPr>
              <w:t>学科领域：</w:t>
            </w:r>
          </w:p>
        </w:tc>
        <w:tc>
          <w:tcPr>
            <w:tcW w:type="dxa" w:w="6123"/>
          </w:tcPr>
          <w:p>
            <w:pPr>
              <w:spacing w:before="0" w:after="0"/>
              <w:jc w:val="left"/>
            </w:pPr>
            <w:r>
              <w:rPr>
                <w:rFonts w:ascii="宋体" w:hAnsi="宋体" w:eastAsia="宋体"/>
                <w:b w:val="0"/>
                <w:color w:val="111827"/>
                <w:sz w:val="24"/>
              </w:rPr>
              <w:t>计算机科学与技术</w:t>
            </w:r>
          </w:p>
        </w:tc>
      </w:tr>
      <w:tr>
        <w:trPr>
          <w:cantSplit/>
        </w:trPr>
        <w:tc>
          <w:tcPr>
            <w:tcW w:type="dxa" w:w="2608"/>
          </w:tcPr>
          <w:p>
            <w:pPr>
              <w:spacing w:before="0" w:after="0"/>
              <w:jc w:val="right"/>
            </w:pPr>
            <w:r>
              <w:rPr>
                <w:rFonts w:ascii="宋体" w:hAnsi="宋体" w:eastAsia="宋体"/>
                <w:b w:val="0"/>
                <w:color w:val="111827"/>
                <w:sz w:val="24"/>
              </w:rPr>
              <w:t>申报者：</w:t>
            </w:r>
          </w:p>
        </w:tc>
        <w:tc>
          <w:tcPr>
            <w:tcW w:type="dxa" w:w="6123"/>
          </w:tcPr>
          <w:p>
            <w:pPr>
              <w:spacing w:before="0" w:after="0"/>
              <w:jc w:val="left"/>
            </w:pPr>
            <w:r>
              <w:rPr>
                <w:rFonts w:ascii="宋体" w:hAnsi="宋体" w:eastAsia="宋体"/>
                <w:b w:val="0"/>
                <w:color w:val="111827"/>
                <w:sz w:val="24"/>
              </w:rPr>
              <w:t>李　明</w:t>
            </w:r>
          </w:p>
        </w:tc>
      </w:tr>
      <w:tr>
        <w:trPr>
          <w:cantSplit/>
        </w:trPr>
        <w:tc>
          <w:tcPr>
            <w:tcW w:type="dxa" w:w="2608"/>
          </w:tcPr>
          <w:p>
            <w:pPr>
              <w:spacing w:before="0" w:after="0"/>
              <w:jc w:val="right"/>
            </w:pPr>
            <w:r>
              <w:rPr>
                <w:rFonts w:ascii="宋体" w:hAnsi="宋体" w:eastAsia="宋体"/>
                <w:b w:val="0"/>
                <w:color w:val="111827"/>
                <w:sz w:val="24"/>
              </w:rPr>
              <w:t>指导教师：</w:t>
            </w:r>
          </w:p>
        </w:tc>
        <w:tc>
          <w:tcPr>
            <w:tcW w:type="dxa" w:w="6123"/>
          </w:tcPr>
          <w:p>
            <w:pPr>
              <w:spacing w:before="0" w:after="0"/>
              <w:jc w:val="left"/>
            </w:pPr>
            <w:r>
              <w:rPr>
                <w:rFonts w:ascii="宋体" w:hAnsi="宋体" w:eastAsia="宋体"/>
                <w:b w:val="0"/>
                <w:color w:val="111827"/>
                <w:sz w:val="24"/>
              </w:rPr>
              <w:t>张建国　副教授</w:t>
            </w:r>
          </w:p>
        </w:tc>
      </w:tr>
      <w:tr>
        <w:trPr>
          <w:cantSplit/>
        </w:trPr>
        <w:tc>
          <w:tcPr>
            <w:tcW w:type="dxa" w:w="2608"/>
          </w:tcPr>
          <w:p>
            <w:pPr>
              <w:spacing w:before="0" w:after="0"/>
              <w:jc w:val="right"/>
            </w:pPr>
            <w:r>
              <w:rPr>
                <w:rFonts w:ascii="宋体" w:hAnsi="宋体" w:eastAsia="宋体"/>
                <w:b w:val="0"/>
                <w:color w:val="111827"/>
                <w:sz w:val="24"/>
              </w:rPr>
              <w:t>所在学校：</w:t>
            </w:r>
          </w:p>
        </w:tc>
        <w:tc>
          <w:tcPr>
            <w:tcW w:type="dxa" w:w="6123"/>
          </w:tcPr>
          <w:p>
            <w:pPr>
              <w:spacing w:before="0" w:after="0"/>
              <w:jc w:val="left"/>
            </w:pPr>
            <w:r>
              <w:rPr>
                <w:rFonts w:ascii="宋体" w:hAnsi="宋体" w:eastAsia="宋体"/>
                <w:b w:val="0"/>
                <w:color w:val="111827"/>
                <w:sz w:val="24"/>
              </w:rPr>
              <w:t>××大学</w:t>
            </w:r>
          </w:p>
        </w:tc>
      </w:tr>
      <w:tr>
        <w:trPr>
          <w:cantSplit/>
        </w:trPr>
        <w:tc>
          <w:tcPr>
            <w:tcW w:type="dxa" w:w="2608"/>
          </w:tcPr>
          <w:p>
            <w:pPr>
              <w:spacing w:before="0" w:after="0"/>
              <w:jc w:val="right"/>
            </w:pPr>
            <w:r>
              <w:rPr>
                <w:rFonts w:ascii="宋体" w:hAnsi="宋体" w:eastAsia="宋体"/>
                <w:b w:val="0"/>
                <w:color w:val="111827"/>
                <w:sz w:val="24"/>
              </w:rPr>
              <w:t>作品字数：</w:t>
            </w:r>
          </w:p>
        </w:tc>
        <w:tc>
          <w:tcPr>
            <w:tcW w:type="dxa" w:w="6123"/>
          </w:tcPr>
          <w:p>
            <w:pPr>
              <w:spacing w:before="0" w:after="0"/>
              <w:jc w:val="left"/>
            </w:pPr>
            <w:r>
              <w:rPr>
                <w:rFonts w:ascii="宋体" w:hAnsi="宋体" w:eastAsia="宋体"/>
                <w:b w:val="0"/>
                <w:color w:val="111827"/>
                <w:sz w:val="24"/>
              </w:rPr>
              <w:t>约 1.8 万字</w:t>
            </w:r>
          </w:p>
        </w:tc>
      </w:tr>
    </w:tbl>
    <w:p>
      <w:r>
        <w:br w:type="page"/>
      </w:r>
    </w:p>
    <w:p>
      <w:pPr>
        <w:keepNext/>
        <w:keepLines/>
        <w:spacing w:before="280" w:after="140" w:line="360" w:lineRule="auto"/>
        <w:outlineLvl w:val="0"/>
      </w:pPr>
      <w:r>
        <w:rPr>
          <w:rFonts w:ascii="黑体" w:hAnsi="黑体" w:eastAsia="黑体"/>
          <w:b/>
          <w:color w:val="111827"/>
          <w:sz w:val="30"/>
        </w:rPr>
        <w:t>一、作品简介</w:t>
      </w:r>
    </w:p>
    <w:p>
      <w:pPr>
        <w:spacing w:before="0" w:after="120" w:lineRule="auto" w:line="360"/>
        <w:ind w:firstLine="480"/>
      </w:pPr>
      <w:r>
        <w:rPr>
          <w:rFonts w:ascii="宋体" w:hAnsi="宋体" w:eastAsia="宋体"/>
          <w:b w:val="0"/>
          <w:color w:val="111827"/>
          <w:sz w:val="24"/>
        </w:rPr>
        <w:t>本作品针对城市低空物流与应急救援场景中障碍物动态变化导致的规划失效问题，提出一种以滚动时域为框架、引入动态代价函数的改进 A* 算法。在 200 组随机动态场景测试中，避障成功率由 72.5% 提升至 94.3%，平均规划耗时由 420 ms 降至 168 ms。</w:t>
      </w:r>
    </w:p>
    <w:tbl>
      <w:tblPr>
        <w:tblW w:type="auto" w:w="0"/>
        <w:jc w:val="center"/>
        <w:tblLayout w:type="fixed"/>
        <w:tblLook w:firstColumn="1" w:firstRow="1" w:lastColumn="0" w:lastRow="0" w:noHBand="0" w:noVBand="1" w:val="04A0"/>
        <w:tblLayout w:type="fixed"/>
      </w:tblPr>
      <w:tblGrid>
        <w:gridCol w:w="2608"/>
        <w:gridCol w:w="6123"/>
      </w:tblGrid>
      <w:tr>
        <w:trPr>
          <w:cantSplit/>
        </w:trPr>
        <w:tc>
          <w:tcPr>
            <w:tcW w:type="dxa" w:w="2608"/>
          </w:tcPr>
          <w:p>
            <w:pPr>
              <w:spacing w:before="0" w:after="0"/>
              <w:jc w:val="right"/>
            </w:pPr>
            <w:r>
              <w:rPr>
                <w:rFonts w:ascii="宋体" w:hAnsi="宋体" w:eastAsia="宋体"/>
                <w:b w:val="0"/>
                <w:color w:val="111827"/>
                <w:sz w:val="24"/>
              </w:rPr>
              <w:t>作品形式：</w:t>
            </w:r>
          </w:p>
        </w:tc>
        <w:tc>
          <w:tcPr>
            <w:tcW w:type="dxa" w:w="6123"/>
          </w:tcPr>
          <w:p>
            <w:pPr>
              <w:spacing w:before="0" w:after="0"/>
              <w:jc w:val="left"/>
            </w:pPr>
            <w:r>
              <w:rPr>
                <w:rFonts w:ascii="宋体" w:hAnsi="宋体" w:eastAsia="宋体"/>
                <w:b w:val="0"/>
                <w:color w:val="111827"/>
                <w:sz w:val="24"/>
              </w:rPr>
              <w:t>算法 + 原理样机 + 开源代码</w:t>
            </w:r>
          </w:p>
        </w:tc>
      </w:tr>
      <w:tr>
        <w:trPr>
          <w:cantSplit/>
        </w:trPr>
        <w:tc>
          <w:tcPr>
            <w:tcW w:type="dxa" w:w="2608"/>
          </w:tcPr>
          <w:p>
            <w:pPr>
              <w:spacing w:before="0" w:after="0"/>
              <w:jc w:val="right"/>
            </w:pPr>
            <w:r>
              <w:rPr>
                <w:rFonts w:ascii="宋体" w:hAnsi="宋体" w:eastAsia="宋体"/>
                <w:b w:val="0"/>
                <w:color w:val="111827"/>
                <w:sz w:val="24"/>
              </w:rPr>
              <w:t>核心指标：</w:t>
            </w:r>
          </w:p>
        </w:tc>
        <w:tc>
          <w:tcPr>
            <w:tcW w:type="dxa" w:w="6123"/>
          </w:tcPr>
          <w:p>
            <w:pPr>
              <w:spacing w:before="0" w:after="0"/>
              <w:jc w:val="left"/>
            </w:pPr>
            <w:r>
              <w:rPr>
                <w:rFonts w:ascii="宋体" w:hAnsi="宋体" w:eastAsia="宋体"/>
                <w:b w:val="0"/>
                <w:color w:val="111827"/>
                <w:sz w:val="24"/>
              </w:rPr>
              <w:t>成功率 94.3%，路径长度 −17.3%，耗时 −60.0%</w:t>
            </w:r>
          </w:p>
        </w:tc>
      </w:tr>
      <w:tr>
        <w:trPr>
          <w:cantSplit/>
        </w:trPr>
        <w:tc>
          <w:tcPr>
            <w:tcW w:type="dxa" w:w="2608"/>
          </w:tcPr>
          <w:p>
            <w:pPr>
              <w:spacing w:before="0" w:after="0"/>
              <w:jc w:val="right"/>
            </w:pPr>
            <w:r>
              <w:rPr>
                <w:rFonts w:ascii="宋体" w:hAnsi="宋体" w:eastAsia="宋体"/>
                <w:b w:val="0"/>
                <w:color w:val="111827"/>
                <w:sz w:val="24"/>
              </w:rPr>
              <w:t>知识产权：</w:t>
            </w:r>
          </w:p>
        </w:tc>
        <w:tc>
          <w:tcPr>
            <w:tcW w:type="dxa" w:w="6123"/>
          </w:tcPr>
          <w:p>
            <w:pPr>
              <w:spacing w:before="0" w:after="0"/>
              <w:jc w:val="left"/>
            </w:pPr>
            <w:r>
              <w:rPr>
                <w:rFonts w:ascii="宋体" w:hAnsi="宋体" w:eastAsia="宋体"/>
                <w:b w:val="0"/>
                <w:color w:val="111827"/>
                <w:sz w:val="24"/>
              </w:rPr>
              <w:t>已提交软件著作权申请 1 项</w:t>
            </w:r>
          </w:p>
        </w:tc>
      </w:tr>
      <w:tr>
        <w:trPr>
          <w:cantSplit/>
        </w:trPr>
        <w:tc>
          <w:tcPr>
            <w:tcW w:type="dxa" w:w="2608"/>
          </w:tcPr>
          <w:p>
            <w:pPr>
              <w:spacing w:before="0" w:after="0"/>
              <w:jc w:val="right"/>
            </w:pPr>
            <w:r>
              <w:rPr>
                <w:rFonts w:ascii="宋体" w:hAnsi="宋体" w:eastAsia="宋体"/>
                <w:b w:val="0"/>
                <w:color w:val="111827"/>
                <w:sz w:val="24"/>
              </w:rPr>
              <w:t>开源地址：</w:t>
            </w:r>
          </w:p>
        </w:tc>
        <w:tc>
          <w:tcPr>
            <w:tcW w:type="dxa" w:w="6123"/>
          </w:tcPr>
          <w:p>
            <w:pPr>
              <w:spacing w:before="0" w:after="0"/>
              <w:jc w:val="left"/>
            </w:pPr>
            <w:r>
              <w:rPr>
                <w:rFonts w:ascii="宋体" w:hAnsi="宋体" w:eastAsia="宋体"/>
                <w:b w:val="0"/>
                <w:color w:val="111827"/>
                <w:sz w:val="24"/>
              </w:rPr>
              <w:t>随申报材料附完整代码与测试数据集</w:t>
            </w:r>
          </w:p>
        </w:tc>
      </w:tr>
    </w:tbl>
    <w:p>
      <w:pPr>
        <w:spacing w:before="0" w:after="120" w:lineRule="auto" w:line="360"/>
        <w:ind w:firstLine="480"/>
      </w:pPr>
      <w:r>
        <w:rPr>
          <w:rFonts w:ascii="宋体" w:hAnsi="宋体" w:eastAsia="宋体"/>
          <w:b w:val="0"/>
          <w:color w:val="111827"/>
          <w:sz w:val="24"/>
        </w:rPr>
        <w:t>本作品的研究起点来自一次真实的失败。团队在参加省级选拔赛时，无人机在室内赛道中因一名工作人员临时走入航线而触发急停，最终超时。复盘发现算法本身没有问题——在仿真里它能在 0.3 秒内绕开任意静态障碍，问题在于它「看不见变化」：一旦环境与建图时不一致，它只会做一件事，就是从头再算一遍，而这次重算耗时 480 毫秒，飞机已经冲出去两米多。</w:t>
      </w:r>
    </w:p>
    <w:p>
      <w:pPr>
        <w:spacing w:before="0" w:after="120" w:lineRule="auto" w:line="360"/>
        <w:ind w:firstLine="480"/>
      </w:pPr>
      <w:r>
        <w:rPr>
          <w:rFonts w:ascii="宋体" w:hAnsi="宋体" w:eastAsia="宋体"/>
          <w:b w:val="0"/>
          <w:color w:val="111827"/>
          <w:sz w:val="24"/>
        </w:rPr>
        <w:t>这次失败让我们意识到，动态环境下的规划问题，本质不是「算得快不快」，而是「要不要重算」。此后一年，团队沿着「尽量不重算、只在必要时局部修正」这条思路做了三轮迭代，最终形成本作品。</w:t>
      </w:r>
    </w:p>
    <w:p>
      <w:pPr>
        <w:spacing w:before="0" w:after="120" w:lineRule="auto" w:line="360"/>
        <w:ind w:firstLine="480"/>
      </w:pPr>
      <w:r>
        <w:rPr>
          <w:rFonts w:ascii="宋体" w:hAnsi="宋体" w:eastAsia="宋体"/>
          <w:b w:val="0"/>
          <w:color w:val="111827"/>
          <w:sz w:val="24"/>
        </w:rPr>
        <w:t>作品的完成度可以三个数字概括：算法在 200 组动态场景中成功率 94.3%、在室内实机测试中 40 架次成功 37 次、代码在 NVIDIA Jetson Orin NX 上单次规划耗时 168 ms。这三个数字分别对应仿真、实机、嵌入式三个层次，缺任何一层都不足以说明「能用」。</w:t>
      </w:r>
    </w:p>
    <w:p>
      <w:pPr>
        <w:spacing w:before="0" w:after="120" w:lineRule="auto" w:line="360"/>
        <w:ind w:firstLine="480"/>
      </w:pPr>
      <w:r>
        <w:rPr>
          <w:rFonts w:ascii="宋体" w:hAnsi="宋体" w:eastAsia="宋体"/>
          <w:b w:val="0"/>
          <w:color w:val="111827"/>
          <w:sz w:val="24"/>
        </w:rPr>
        <w:t>作品目前的状态是「可复现的原型」而不是「产品」。我们开源了全部代码、测试数据集与实验脚本，任何人可以按文档复现报告中的数字。这一点在评审中可以作为验证依据，也是我们对「不是 PPT 作品」这一质疑的回应。</w:t>
      </w:r>
    </w:p>
    <w:p>
      <w:pPr>
        <w:keepNext/>
        <w:keepLines/>
        <w:spacing w:before="280" w:after="140" w:line="360" w:lineRule="auto"/>
        <w:outlineLvl w:val="0"/>
      </w:pPr>
      <w:r>
        <w:rPr>
          <w:rFonts w:ascii="黑体" w:hAnsi="黑体" w:eastAsia="黑体"/>
          <w:b/>
          <w:color w:val="111827"/>
          <w:sz w:val="30"/>
        </w:rPr>
        <w:t>二、研究背景与文献综述</w:t>
      </w:r>
    </w:p>
    <w:p>
      <w:pPr>
        <w:spacing w:before="0" w:after="120" w:lineRule="auto" w:line="360"/>
        <w:ind w:firstLine="480"/>
      </w:pPr>
      <w:r>
        <w:rPr>
          <w:rFonts w:ascii="宋体" w:hAnsi="宋体" w:eastAsia="宋体"/>
          <w:b w:val="0"/>
          <w:color w:val="111827"/>
          <w:sz w:val="24"/>
        </w:rPr>
        <w:t>检索 Web of Science 与 CNKI 相关文献 168 篇，精读 62 篇。研究热点集中在路径规划、动态避障与多机协同三个方向，而「动态环境下的实时重规划」是被引频次最高但工程落地最少的分支（见图 1）。</w:t>
      </w:r>
    </w:p>
    <w:p>
      <w:pPr>
        <w:keepNext/>
        <w:keepLines/>
        <w:spacing w:before="160" w:after="60"/>
        <w:jc w:val="center"/>
      </w:pPr>
      <w:r>
        <w:drawing>
          <wp:inline xmlns:a="http://schemas.openxmlformats.org/drawingml/2006/main" xmlns:pic="http://schemas.openxmlformats.org/drawingml/2006/picture">
            <wp:extent cx="5472000" cy="2239220"/>
            <wp:docPr id="1" name="Picture 1"/>
            <wp:cNvGraphicFramePr>
              <a:graphicFrameLocks noChangeAspect="1"/>
            </wp:cNvGraphicFramePr>
            <a:graphic>
              <a:graphicData uri="http://schemas.openxmlformats.org/drawingml/2006/picture">
                <pic:pic>
                  <pic:nvPicPr>
                    <pic:cNvPr id="0" name="11_literature.png"/>
                    <pic:cNvPicPr/>
                  </pic:nvPicPr>
                  <pic:blipFill>
                    <a:blip r:embed="rId10"/>
                    <a:stretch>
                      <a:fillRect/>
                    </a:stretch>
                  </pic:blipFill>
                  <pic:spPr>
                    <a:xfrm>
                      <a:off x="0" y="0"/>
                      <a:ext cx="5472000" cy="2239220"/>
                    </a:xfrm>
                    <a:prstGeom prst="rect"/>
                  </pic:spPr>
                </pic:pic>
              </a:graphicData>
            </a:graphic>
          </wp:inline>
        </w:drawing>
      </w:r>
    </w:p>
    <w:p>
      <w:pPr>
        <w:keepLines/>
        <w:spacing w:before="0" w:after="200"/>
        <w:jc w:val="center"/>
      </w:pPr>
      <w:r>
        <w:rPr>
          <w:rFonts w:ascii="宋体" w:hAnsi="宋体" w:eastAsia="宋体"/>
          <w:b w:val="0"/>
          <w:color w:val="6B7280"/>
          <w:sz w:val="21"/>
        </w:rPr>
        <w:t>图 1　文献主题分布（共检索 168 篇，精读 62 篇）</w:t>
      </w:r>
    </w:p>
    <w:p>
      <w:pPr>
        <w:spacing w:before="0" w:after="120" w:lineRule="auto" w:line="360"/>
        <w:ind w:firstLine="480"/>
      </w:pPr>
      <w:r>
        <w:rPr>
          <w:rFonts w:ascii="宋体" w:hAnsi="宋体" w:eastAsia="宋体"/>
          <w:b w:val="0"/>
          <w:color w:val="111827"/>
          <w:sz w:val="24"/>
        </w:rPr>
        <w:t>现有工作可归为三类[4]：增量搜索类（D* Lite 等[2]）降低重算代价但不解决突发障碍响应；局部控制类（MPC、DWA 等[3]）实时性好但缺全局最优性；学习类方法泛化性与可解释性不足。本作品定位在第二类与第一类之间，兼顾全局性与实时性。</w:t>
      </w:r>
    </w:p>
    <w:p>
      <w:pPr>
        <w:keepNext/>
        <w:keepLines/>
        <w:spacing w:before="200" w:after="100" w:line="360" w:lineRule="auto"/>
        <w:outlineLvl w:val="1"/>
      </w:pPr>
      <w:r>
        <w:rPr>
          <w:rFonts w:ascii="黑体" w:hAnsi="黑体" w:eastAsia="黑体"/>
          <w:b/>
          <w:color w:val="111827"/>
          <w:sz w:val="25"/>
        </w:rPr>
        <w:t>2.1 场景约束</w:t>
      </w:r>
    </w:p>
    <w:p>
      <w:pPr>
        <w:spacing w:before="0" w:after="120" w:lineRule="auto" w:line="360"/>
        <w:ind w:firstLine="480"/>
      </w:pPr>
      <w:r>
        <w:rPr>
          <w:rFonts w:ascii="宋体" w:hAnsi="宋体" w:eastAsia="宋体"/>
          <w:b w:val="0"/>
          <w:color w:val="111827"/>
          <w:sz w:val="24"/>
        </w:rPr>
        <w:t>城市低空物流的飞行剖面有三个特点，直接决定了算法必须满足的约束。一是高度低：通常在 60—120 米，与建筑物、行道树、架线高度重叠，障碍物不仅密集而且贴近航迹。二是速度高：末端配送为追求时效，巡航速度普遍在 8—12 m/s，留给算法的响应窗口只有几百毫秒。三是障碍物种类杂：临时施工围挡、飞鸟、其他飞行器都会出现，其中相当一部分无法提前建图。</w:t>
      </w:r>
    </w:p>
    <w:p>
      <w:pPr>
        <w:spacing w:before="0" w:after="120" w:lineRule="auto" w:line="360"/>
        <w:ind w:firstLine="480"/>
      </w:pPr>
      <w:r>
        <w:rPr>
          <w:rFonts w:ascii="宋体" w:hAnsi="宋体" w:eastAsia="宋体"/>
          <w:b w:val="0"/>
          <w:color w:val="111827"/>
          <w:sz w:val="24"/>
        </w:rPr>
        <w:t>应急救援场景则相反：不追求速度，但对可靠性要求极高。灾害现场的建筑物结构可能已经改变，先验地图完全失效，无人机必须依赖实时感知做决策，且不能出现「规划失败就悬停」这种降级行为——现场没有条件让人接手。</w:t>
      </w:r>
    </w:p>
    <w:p>
      <w:pPr>
        <w:spacing w:before="0" w:after="120" w:lineRule="auto" w:line="360"/>
        <w:ind w:firstLine="480"/>
      </w:pPr>
      <w:r>
        <w:rPr>
          <w:rFonts w:ascii="宋体" w:hAnsi="宋体" w:eastAsia="宋体"/>
          <w:b w:val="0"/>
          <w:color w:val="111827"/>
          <w:sz w:val="24"/>
        </w:rPr>
        <w:t>这两类场景的共性，是「环境与先验不一致」。现有算法的失效模式恰恰集中在这里：它们擅长在已知地图上找最优解，不擅长处理地图与现实的偏差。这是本作品选题的直接依据。</w:t>
      </w:r>
    </w:p>
    <w:p>
      <w:pPr>
        <w:keepNext/>
        <w:keepLines/>
        <w:spacing w:before="200" w:after="100" w:line="360" w:lineRule="auto"/>
        <w:outlineLvl w:val="1"/>
      </w:pPr>
      <w:r>
        <w:rPr>
          <w:rFonts w:ascii="黑体" w:hAnsi="黑体" w:eastAsia="黑体"/>
          <w:b/>
          <w:color w:val="111827"/>
          <w:sz w:val="25"/>
        </w:rPr>
        <w:t>2.2 检索的局限与应对</w:t>
      </w:r>
    </w:p>
    <w:p>
      <w:pPr>
        <w:spacing w:before="0" w:after="120" w:lineRule="auto" w:line="360"/>
        <w:ind w:firstLine="480"/>
      </w:pPr>
      <w:r>
        <w:rPr>
          <w:rFonts w:ascii="宋体" w:hAnsi="宋体" w:eastAsia="宋体"/>
          <w:b w:val="0"/>
          <w:color w:val="111827"/>
          <w:sz w:val="24"/>
        </w:rPr>
        <w:t>检索以「UAV path planning」「dynamic obstacle avoidance」「real-time replanning」及其中文对应词为关键词，覆盖 Web of Science、IEEE Xplore 与 CNKI 三个库，时间范围 2018—2025 年。初检得到 168 篇，剔除纯理论证明、纯仿真且无对比基线的文献后，精读 62 篇。</w:t>
      </w:r>
    </w:p>
    <w:p>
      <w:pPr>
        <w:spacing w:before="0" w:after="120" w:lineRule="auto" w:line="360"/>
        <w:ind w:firstLine="480"/>
      </w:pPr>
      <w:r>
        <w:rPr>
          <w:rFonts w:ascii="宋体" w:hAnsi="宋体" w:eastAsia="宋体"/>
          <w:b w:val="0"/>
          <w:color w:val="111827"/>
          <w:sz w:val="24"/>
        </w:rPr>
        <w:t>需要说明检索的局限：本领域缺少统一基准数据集，各文献的实验设置差异很大，横向比较只能看趋势。因此本作品在做对比实验时，同步复现了两个基线算法，在同一数据集上重跑，而不是直接引用原文数据。</w:t>
      </w:r>
    </w:p>
    <w:p>
      <w:pPr>
        <w:keepNext/>
        <w:keepLines/>
        <w:spacing w:before="200" w:after="100" w:line="360" w:lineRule="auto"/>
        <w:outlineLvl w:val="1"/>
      </w:pPr>
      <w:r>
        <w:rPr>
          <w:rFonts w:ascii="黑体" w:hAnsi="黑体" w:eastAsia="黑体"/>
          <w:b/>
          <w:color w:val="111827"/>
          <w:sz w:val="25"/>
        </w:rPr>
        <w:t>2.3 三点共性缺陷</w:t>
      </w:r>
    </w:p>
    <w:p>
      <w:pPr>
        <w:spacing w:before="0" w:after="120" w:lineRule="auto" w:line="360"/>
        <w:ind w:firstLine="480"/>
      </w:pPr>
      <w:r>
        <w:rPr>
          <w:rFonts w:ascii="宋体" w:hAnsi="宋体" w:eastAsia="宋体"/>
          <w:b w:val="0"/>
          <w:color w:val="111827"/>
          <w:sz w:val="24"/>
        </w:rPr>
        <w:t>把 62 篇放在一起看，会发现问题不在方法本身，而在问题表述。绝大多数工作把「动态」理解为「变化后要重新算」，于是研究重心落在「怎么算得更快」上——增量搜索、并行化、GPU 加速都属于这条路径。但工程上真正痛的是「算出来的路径飞不了」：要么是折线太抖飞控跟不上，要么是算得再快也快不过障碍物的出现速度。</w:t>
      </w:r>
    </w:p>
    <w:p>
      <w:pPr>
        <w:spacing w:before="0" w:after="120" w:lineRule="auto" w:line="360"/>
        <w:ind w:firstLine="480"/>
      </w:pPr>
      <w:r>
        <w:rPr>
          <w:rFonts w:ascii="宋体" w:hAnsi="宋体" w:eastAsia="宋体"/>
          <w:b w:val="0"/>
          <w:color w:val="111827"/>
          <w:sz w:val="24"/>
        </w:rPr>
        <w:t>第二个共性缺陷是评价口径单一。绝大多数文献只报告路径长度与成功率，不报告能耗与平滑度，而这两项恰恰决定实机可用性。本作品在评测中增加了能耗指标，原因就在于此。</w:t>
      </w:r>
    </w:p>
    <w:p>
      <w:pPr>
        <w:spacing w:before="0" w:after="120" w:lineRule="auto" w:line="360"/>
        <w:ind w:firstLine="480"/>
      </w:pPr>
      <w:r>
        <w:rPr>
          <w:rFonts w:ascii="宋体" w:hAnsi="宋体" w:eastAsia="宋体"/>
          <w:b w:val="0"/>
          <w:color w:val="111827"/>
          <w:sz w:val="24"/>
        </w:rPr>
        <w:t>第三个缺陷是实机验证缺失。62 篇中只有 11 篇做了实机实验，且多数在室内无风环境。这不是作者的问题——室外飞行成本高、风险大，学术项目难以承担。但它导致一个后果：论文里的方法与能上飞机的系统之间，存在一条没人愿意明说的鸿沟。</w:t>
      </w:r>
    </w:p>
    <w:p>
      <w:pPr>
        <w:keepNext/>
        <w:keepLines/>
        <w:spacing w:before="200" w:after="100" w:line="360" w:lineRule="auto"/>
        <w:outlineLvl w:val="1"/>
      </w:pPr>
      <w:r>
        <w:rPr>
          <w:rFonts w:ascii="黑体" w:hAnsi="黑体" w:eastAsia="黑体"/>
          <w:b/>
          <w:color w:val="111827"/>
          <w:sz w:val="25"/>
        </w:rPr>
        <w:t>2.4 本作品的定位</w:t>
      </w:r>
    </w:p>
    <w:p>
      <w:pPr>
        <w:spacing w:before="0" w:after="120" w:lineRule="auto" w:line="360"/>
        <w:ind w:firstLine="480"/>
      </w:pPr>
      <w:r>
        <w:rPr>
          <w:rFonts w:ascii="宋体" w:hAnsi="宋体" w:eastAsia="宋体"/>
          <w:b w:val="0"/>
          <w:color w:val="111827"/>
          <w:sz w:val="24"/>
        </w:rPr>
        <w:t>基于上述判断，本作品不追求在仿真指标上刷新纪录，而是试图把「仿真有效」推进到「实机可用」。具体做法是三项改进：引入时间维度让算法能预判、用滚动时域把全局问题切成可实时求解的局部问题、在输出端加曲率约束保证路径可跟随。三项改进都不新，组合方式与验证深度是本作品的差异所在。</w:t>
      </w:r>
    </w:p>
    <w:p>
      <w:pPr>
        <w:spacing w:before="0" w:after="120" w:lineRule="auto" w:line="360"/>
        <w:ind w:firstLine="480"/>
      </w:pPr>
      <w:r>
        <w:rPr>
          <w:rFonts w:ascii="宋体" w:hAnsi="宋体" w:eastAsia="宋体"/>
          <w:b w:val="0"/>
          <w:color w:val="111827"/>
          <w:sz w:val="24"/>
        </w:rPr>
        <w:t>三项改进各有出处：局部梯度优化[5][8]给出了实时性的实现路径与曲率约束的处理方式，规划算法的基础框架[6]提供了问题形式化的依据；我们未采用采样类方法[7]，原因是其在窄通道场景下的收敛速度难以满足 200 ms 的时域要求。这些工作的共同前提是本作品在选题之初就明确了「可解释、可跟随、可验证」三条约束——凡是无法在这三条上给出证据的方法，一律不进入候选集。</w:t>
      </w:r>
    </w:p>
    <w:p>
      <w:pPr>
        <w:keepNext/>
        <w:keepLines/>
        <w:spacing w:before="280" w:after="140" w:line="360" w:lineRule="auto"/>
        <w:outlineLvl w:val="0"/>
      </w:pPr>
      <w:r>
        <w:rPr>
          <w:rFonts w:ascii="黑体" w:hAnsi="黑体" w:eastAsia="黑体"/>
          <w:b/>
          <w:color w:val="111827"/>
          <w:sz w:val="30"/>
        </w:rPr>
        <w:t>三、技术路线与创新点</w:t>
      </w:r>
    </w:p>
    <w:p>
      <w:pPr>
        <w:keepNext/>
        <w:keepLines/>
        <w:spacing w:before="0" w:after="120" w:lineRule="auto" w:line="360"/>
        <w:ind w:firstLine="480"/>
      </w:pPr>
      <w:r>
        <w:rPr>
          <w:rFonts w:ascii="宋体" w:hAnsi="宋体" w:eastAsia="宋体"/>
          <w:b w:val="0"/>
          <w:color w:val="111827"/>
          <w:sz w:val="24"/>
        </w:rPr>
        <w:t>作品按「建模—设计—验证—落地」四阶段推进，技术路线如图 2 所示：</w:t>
      </w:r>
    </w:p>
    <w:p>
      <w:pPr>
        <w:keepNext/>
        <w:keepLines/>
        <w:spacing w:before="160" w:after="60"/>
        <w:jc w:val="center"/>
      </w:pPr>
      <w:r>
        <w:drawing>
          <wp:inline xmlns:a="http://schemas.openxmlformats.org/drawingml/2006/main" xmlns:pic="http://schemas.openxmlformats.org/drawingml/2006/picture">
            <wp:extent cx="5472000" cy="2191281"/>
            <wp:docPr id="2" name="Picture 2"/>
            <wp:cNvGraphicFramePr>
              <a:graphicFrameLocks noChangeAspect="1"/>
            </wp:cNvGraphicFramePr>
            <a:graphic>
              <a:graphicData uri="http://schemas.openxmlformats.org/drawingml/2006/picture">
                <pic:pic>
                  <pic:nvPicPr>
                    <pic:cNvPr id="0" name="01_tech_roadmap.png"/>
                    <pic:cNvPicPr/>
                  </pic:nvPicPr>
                  <pic:blipFill>
                    <a:blip r:embed="rId11"/>
                    <a:stretch>
                      <a:fillRect/>
                    </a:stretch>
                  </pic:blipFill>
                  <pic:spPr>
                    <a:xfrm>
                      <a:off x="0" y="0"/>
                      <a:ext cx="5472000" cy="2191281"/>
                    </a:xfrm>
                    <a:prstGeom prst="rect"/>
                  </pic:spPr>
                </pic:pic>
              </a:graphicData>
            </a:graphic>
          </wp:inline>
        </w:drawing>
      </w:r>
    </w:p>
    <w:p>
      <w:pPr>
        <w:keepLines/>
        <w:spacing w:before="0" w:after="200"/>
        <w:jc w:val="center"/>
      </w:pPr>
      <w:r>
        <w:rPr>
          <w:rFonts w:ascii="宋体" w:hAnsi="宋体" w:eastAsia="宋体"/>
          <w:b w:val="0"/>
          <w:color w:val="6B7280"/>
          <w:sz w:val="21"/>
        </w:rPr>
        <w:t>图 2　四阶段技术路线图</w:t>
      </w:r>
    </w:p>
    <w:p>
      <w:pPr>
        <w:spacing w:before="0" w:after="120" w:lineRule="auto" w:line="360"/>
        <w:ind w:firstLine="480"/>
      </w:pPr>
      <w:r>
        <w:rPr>
          <w:rFonts w:ascii="宋体" w:hAnsi="宋体" w:eastAsia="宋体"/>
          <w:b w:val="0"/>
          <w:color w:val="111827"/>
          <w:sz w:val="24"/>
        </w:rPr>
        <w:t>创新点推导链条清晰：从痛点出发，经现有方案不足，收敛到核心创新，再由可量化的验证指标支撑最终成果（见图 3）。</w:t>
      </w:r>
    </w:p>
    <w:p>
      <w:pPr>
        <w:keepNext/>
        <w:keepLines/>
        <w:spacing w:before="160" w:after="60"/>
        <w:jc w:val="center"/>
      </w:pPr>
      <w:r>
        <w:drawing>
          <wp:inline xmlns:a="http://schemas.openxmlformats.org/drawingml/2006/main" xmlns:pic="http://schemas.openxmlformats.org/drawingml/2006/picture">
            <wp:extent cx="5472000" cy="1487700"/>
            <wp:docPr id="3" name="Picture 3"/>
            <wp:cNvGraphicFramePr>
              <a:graphicFrameLocks noChangeAspect="1"/>
            </wp:cNvGraphicFramePr>
            <a:graphic>
              <a:graphicData uri="http://schemas.openxmlformats.org/drawingml/2006/picture">
                <pic:pic>
                  <pic:nvPicPr>
                    <pic:cNvPr id="0" name="06_innovation.png"/>
                    <pic:cNvPicPr/>
                  </pic:nvPicPr>
                  <pic:blipFill>
                    <a:blip r:embed="rId12"/>
                    <a:stretch>
                      <a:fillRect/>
                    </a:stretch>
                  </pic:blipFill>
                  <pic:spPr>
                    <a:xfrm>
                      <a:off x="0" y="0"/>
                      <a:ext cx="5472000" cy="1487700"/>
                    </a:xfrm>
                    <a:prstGeom prst="rect"/>
                  </pic:spPr>
                </pic:pic>
              </a:graphicData>
            </a:graphic>
          </wp:inline>
        </w:drawing>
      </w:r>
    </w:p>
    <w:p>
      <w:pPr>
        <w:keepLines/>
        <w:spacing w:before="0" w:after="200"/>
        <w:jc w:val="center"/>
      </w:pPr>
      <w:r>
        <w:rPr>
          <w:rFonts w:ascii="宋体" w:hAnsi="宋体" w:eastAsia="宋体"/>
          <w:b w:val="0"/>
          <w:color w:val="6B7280"/>
          <w:sz w:val="21"/>
        </w:rPr>
        <w:t>图 3　创新逻辑链：痛点 → 不足 → 创新 → 指标 → 成果</w:t>
      </w:r>
    </w:p>
    <w:p>
      <w:pPr>
        <w:keepNext/>
        <w:keepLines/>
        <w:spacing w:before="200" w:after="100" w:line="360" w:lineRule="auto"/>
        <w:outlineLvl w:val="1"/>
      </w:pPr>
      <w:r>
        <w:rPr>
          <w:rFonts w:ascii="黑体" w:hAnsi="黑体" w:eastAsia="黑体"/>
          <w:b/>
          <w:color w:val="111827"/>
          <w:sz w:val="25"/>
        </w:rPr>
        <w:t>3.1 三项创新的具体内容</w:t>
      </w:r>
    </w:p>
    <w:p>
      <w:pPr>
        <w:spacing w:before="0" w:after="120" w:lineRule="auto" w:line="360"/>
        <w:ind w:firstLine="480"/>
      </w:pPr>
      <w:r>
        <w:rPr>
          <w:rFonts w:ascii="宋体" w:hAnsi="宋体" w:eastAsia="宋体"/>
          <w:b w:val="0"/>
          <w:color w:val="111827"/>
          <w:sz w:val="24"/>
        </w:rPr>
        <w:t>创新一：动态代价函数。把传统 A*[1] 的代价 g(n) 扩展为 g(n,t)，障碍物按其运动预测在时空中形成禁行锥体，节点在时刻 t 落入锥体内则代价趋于无穷。难点在于启发函数 h(n,t) 的可采纳性——引入时间维度后欧氏距离不再是可靠下界，因为「等待」有时比「绕行」更优。我们构造了一个基于「时空最短可达距离」的下界函数，并证明其同时满足可采纳性与一致性，这部分论证构成了论文的理论核心。</w:t>
      </w:r>
    </w:p>
    <w:p>
      <w:pPr>
        <w:spacing w:before="0" w:after="120" w:lineRule="auto" w:line="360"/>
        <w:ind w:firstLine="480"/>
      </w:pPr>
      <w:r>
        <w:rPr>
          <w:rFonts w:ascii="宋体" w:hAnsi="宋体" w:eastAsia="宋体"/>
          <w:b w:val="0"/>
          <w:color w:val="111827"/>
          <w:sz w:val="24"/>
        </w:rPr>
        <w:t>创新二：滚动时域粘合层。在每个控制周期内以当前状态为起点求解固定时长的局部子问题，执行窗口前段后重新求解。窗口长度不是常数，而是按速度与障碍密度自适应调整——高速时窗口拉长以留出反应余量，障碍密集时窗口缩短以保证求解频率。这一设计使算法在「全局性」与「实时性」之间形成一个可调的连续谱，而非二选一。</w:t>
      </w:r>
    </w:p>
    <w:p>
      <w:pPr>
        <w:spacing w:before="0" w:after="120" w:lineRule="auto" w:line="360"/>
        <w:ind w:firstLine="480"/>
      </w:pPr>
      <w:r>
        <w:rPr>
          <w:rFonts w:ascii="宋体" w:hAnsi="宋体" w:eastAsia="宋体"/>
          <w:b w:val="0"/>
          <w:color w:val="111827"/>
          <w:sz w:val="24"/>
        </w:rPr>
        <w:t>创新三：曲率约束输出。规划结果不直接交给飞控，而是先经过一道平滑与速度规划，按动力学模型提取的「曲率—速度」可行域做裁剪。这一步在算法层面看是「降级」——路径可能不是几何最短的；但在系统层面是「升级」——实际飞行时间与能耗都显著下降。</w:t>
      </w:r>
    </w:p>
    <w:p>
      <w:pPr>
        <w:keepNext/>
        <w:keepLines/>
        <w:spacing w:before="200" w:after="100" w:line="360" w:lineRule="auto"/>
        <w:outlineLvl w:val="1"/>
      </w:pPr>
      <w:r>
        <w:rPr>
          <w:rFonts w:ascii="黑体" w:hAnsi="黑体" w:eastAsia="黑体"/>
          <w:b/>
          <w:color w:val="111827"/>
          <w:sz w:val="25"/>
        </w:rPr>
        <w:t>3.2 研究内容分解</w:t>
      </w:r>
    </w:p>
    <w:p>
      <w:pPr>
        <w:spacing w:before="0" w:after="120" w:lineRule="auto" w:line="360"/>
        <w:ind w:firstLine="480"/>
      </w:pPr>
      <w:r>
        <w:rPr>
          <w:rFonts w:ascii="宋体" w:hAnsi="宋体" w:eastAsia="宋体"/>
          <w:b w:val="0"/>
          <w:color w:val="111827"/>
          <w:sz w:val="24"/>
        </w:rPr>
        <w:t>把上述创新落到可执行的研究任务上，形成四任务八子项的分解结构。四项任务之间存在严格的前后依赖：任务一的动力学约束是任务二可行域的前提，任务二的代价函数是任务三求解的基础，任务四则负责验证前三项的正确性（见图 4）。</w:t>
      </w:r>
    </w:p>
    <w:p>
      <w:pPr>
        <w:keepNext/>
        <w:keepLines/>
        <w:spacing w:before="160" w:after="60"/>
        <w:jc w:val="center"/>
      </w:pPr>
      <w:r>
        <w:drawing>
          <wp:inline xmlns:a="http://schemas.openxmlformats.org/drawingml/2006/main" xmlns:pic="http://schemas.openxmlformats.org/drawingml/2006/picture">
            <wp:extent cx="5078264" cy="2520000"/>
            <wp:docPr id="4" name="Picture 4"/>
            <wp:cNvGraphicFramePr>
              <a:graphicFrameLocks noChangeAspect="1"/>
            </wp:cNvGraphicFramePr>
            <a:graphic>
              <a:graphicData uri="http://schemas.openxmlformats.org/drawingml/2006/picture">
                <pic:pic>
                  <pic:nvPicPr>
                    <pic:cNvPr id="0" name="12_wbs.png"/>
                    <pic:cNvPicPr/>
                  </pic:nvPicPr>
                  <pic:blipFill>
                    <a:blip r:embed="rId13"/>
                    <a:stretch>
                      <a:fillRect/>
                    </a:stretch>
                  </pic:blipFill>
                  <pic:spPr>
                    <a:xfrm>
                      <a:off x="0" y="0"/>
                      <a:ext cx="5078264" cy="2520000"/>
                    </a:xfrm>
                    <a:prstGeom prst="rect"/>
                  </pic:spPr>
                </pic:pic>
              </a:graphicData>
            </a:graphic>
          </wp:inline>
        </w:drawing>
      </w:r>
    </w:p>
    <w:p>
      <w:pPr>
        <w:keepLines/>
        <w:spacing w:before="0" w:after="200"/>
        <w:jc w:val="center"/>
      </w:pPr>
      <w:r>
        <w:rPr>
          <w:rFonts w:ascii="宋体" w:hAnsi="宋体" w:eastAsia="宋体"/>
          <w:b w:val="0"/>
          <w:color w:val="6B7280"/>
          <w:sz w:val="21"/>
        </w:rPr>
        <w:t>图 4　研究内容分解（WBS）：总目标 → 四项任务 → 八项子任务</w:t>
      </w:r>
    </w:p>
    <w:p>
      <w:pPr>
        <w:keepNext/>
        <w:keepLines/>
        <w:spacing w:before="200" w:after="100" w:line="360" w:lineRule="auto"/>
        <w:outlineLvl w:val="1"/>
      </w:pPr>
      <w:r>
        <w:rPr>
          <w:rFonts w:ascii="黑体" w:hAnsi="黑体" w:eastAsia="黑体"/>
          <w:b/>
          <w:color w:val="111827"/>
          <w:sz w:val="25"/>
        </w:rPr>
        <w:t>3.3 算法实现细节</w:t>
      </w:r>
    </w:p>
    <w:p>
      <w:pPr>
        <w:spacing w:before="0" w:after="120" w:lineRule="auto" w:line="360"/>
        <w:ind w:firstLine="480"/>
      </w:pPr>
      <w:r>
        <w:rPr>
          <w:rFonts w:ascii="宋体" w:hAnsi="宋体" w:eastAsia="宋体"/>
          <w:b w:val="0"/>
          <w:color w:val="111827"/>
          <w:sz w:val="24"/>
        </w:rPr>
        <w:t>状态空间定义为四维元组 (x, y, θ, t)：前三维是平面位姿，t 是到达该位姿的预计时刻。把时间作为状态变量而非外部参数，是这套算法与传统 A* 最本质的区别——传统 A* 中同一栅格只有一个最优代价，而这里同一栅格在不同时刻的代价不同，因此搜索树在时间维度上展开，节点数最坏情况下乘以时间片数量。</w:t>
      </w:r>
    </w:p>
    <w:p>
      <w:pPr>
        <w:spacing w:before="0" w:after="120" w:lineRule="auto" w:line="360"/>
        <w:ind w:firstLine="480"/>
      </w:pPr>
      <w:r>
        <w:rPr>
          <w:rFonts w:ascii="宋体" w:hAnsi="宋体" w:eastAsia="宋体"/>
          <w:b w:val="0"/>
          <w:color w:val="111827"/>
          <w:sz w:val="24"/>
        </w:rPr>
        <w:t>这带来一个直接的工程问题：状态空间膨胀。若时间片取 1 秒、规划时域 20 秒，状态数就翻 20 倍，A* 的内存与耗时都不可接受。我们的处理是两层剪枝：一是时间片只在障碍物可能影响的区域细分，空旷区域合并为粗粒度；二是用一致性启发函数做剪枝，h 值超过当前最优解的节点直接丢弃。实测剪枝后状态数只增加 3.2 倍，耗时增加 41%，仍在可接受范围。</w:t>
      </w:r>
    </w:p>
    <w:p>
      <w:pPr>
        <w:spacing w:before="0" w:after="120" w:lineRule="auto" w:line="360"/>
        <w:ind w:firstLine="480"/>
      </w:pPr>
      <w:r>
        <w:rPr>
          <w:rFonts w:ascii="宋体" w:hAnsi="宋体" w:eastAsia="宋体"/>
          <w:b w:val="0"/>
          <w:color w:val="111827"/>
          <w:sz w:val="24"/>
        </w:rPr>
        <w:t>动态代价函数的具体形式为 g(n,t) = g_move + g_risk + g_turn。g_move 是移动代价，按距离与速度计算；g_risk 是风险代价，由节点与预测障碍锥体的最小距离反比决定，距离越近代价越大；g_turn 是转向代价，惩罚方向突变，这是保证路径可跟随的关键项。三项的权重通过网格搜索在验证集上标定，最终取 1 : 3.2 : 0.8。</w:t>
      </w:r>
    </w:p>
    <w:p>
      <w:pPr>
        <w:spacing w:before="0" w:after="120" w:lineRule="auto" w:line="360"/>
        <w:ind w:firstLine="480"/>
      </w:pPr>
      <w:r>
        <w:rPr>
          <w:rFonts w:ascii="宋体" w:hAnsi="宋体" w:eastAsia="宋体"/>
          <w:b w:val="0"/>
          <w:color w:val="111827"/>
          <w:sz w:val="24"/>
        </w:rPr>
        <w:t>窗口长度自适应采用分段线性函数而非连续函数，原因是嵌入式平台上的浮点运算成本高于查表。把速度划分为三档、障碍密度划分为三档，形成 3×3 的查表矩阵，取值为 0.8—2.4 秒之间。表由离线实验标定，在线只做查表与最近邻插值。</w:t>
      </w:r>
    </w:p>
    <w:p>
      <w:pPr>
        <w:keepNext/>
        <w:keepLines/>
        <w:spacing w:before="200" w:after="100" w:line="360" w:lineRule="auto"/>
        <w:outlineLvl w:val="1"/>
      </w:pPr>
      <w:r>
        <w:rPr>
          <w:rFonts w:ascii="黑体" w:hAnsi="黑体" w:eastAsia="黑体"/>
          <w:b/>
          <w:color w:val="111827"/>
          <w:sz w:val="25"/>
        </w:rPr>
        <w:t>3.4 与现有开源方案的工程差异</w:t>
      </w:r>
    </w:p>
    <w:p>
      <w:pPr>
        <w:spacing w:before="0" w:after="120" w:lineRule="auto" w:line="360"/>
        <w:ind w:firstLine="480"/>
      </w:pPr>
      <w:r>
        <w:rPr>
          <w:rFonts w:ascii="宋体" w:hAnsi="宋体" w:eastAsia="宋体"/>
          <w:b w:val="0"/>
          <w:color w:val="111827"/>
          <w:sz w:val="24"/>
        </w:rPr>
        <w:t>把作品与三个主流开源方案做了对比：ROS 的 nav2 中的 NavFn、EGO-Planner、以及 Fast-Planner。三者的定位各不相同，对比的意义不在于谁更好，而在于说明本作品补的是哪块空位（见表 1）。</w:t>
      </w:r>
    </w:p>
    <w:p>
      <w:pPr>
        <w:keepNext/>
        <w:keepLines/>
        <w:spacing w:before="120" w:after="40" w:line="288" w:lineRule="auto"/>
        <w:jc w:val="center"/>
      </w:pPr>
      <w:r>
        <w:rPr>
          <w:rFonts w:ascii="黑体" w:hAnsi="黑体" w:eastAsia="黑体"/>
          <w:b w:val="0"/>
          <w:color w:val="111827"/>
          <w:sz w:val="21"/>
        </w:rPr>
        <w:t>表 1　典型方案与作品在四个维度上的能力对比</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1893"/>
        <w:gridCol w:w="1367"/>
        <w:gridCol w:w="1683"/>
        <w:gridCol w:w="1683"/>
        <w:gridCol w:w="2104"/>
      </w:tblGrid>
      <w:tr>
        <w:trPr>
          <w:tblHeader/>
          <w:cantSplit/>
        </w:trPr>
        <w:tc>
          <w:tcPr>
            <w:tcW w:type="dxa" w:w="1893"/>
          </w:tcPr>
          <w:p>
            <w:pPr>
              <w:keepNext/>
              <w:keepLines/>
              <w:spacing w:before="0" w:after="0"/>
              <w:jc w:val="center"/>
            </w:pPr>
            <w:r/>
            <w:r>
              <w:rPr>
                <w:rFonts w:ascii="黑体" w:hAnsi="黑体" w:eastAsia="黑体"/>
                <w:b/>
                <w:color w:val="111827"/>
                <w:sz w:val="21"/>
              </w:rPr>
              <w:t>方案</w:t>
            </w:r>
          </w:p>
        </w:tc>
        <w:tc>
          <w:tcPr>
            <w:tcW w:type="dxa" w:w="1367"/>
          </w:tcPr>
          <w:p>
            <w:pPr>
              <w:keepNext/>
              <w:keepLines/>
              <w:spacing w:before="0" w:after="0"/>
              <w:jc w:val="center"/>
            </w:pPr>
            <w:r/>
            <w:r>
              <w:rPr>
                <w:rFonts w:ascii="黑体" w:hAnsi="黑体" w:eastAsia="黑体"/>
                <w:b/>
                <w:color w:val="111827"/>
                <w:sz w:val="21"/>
              </w:rPr>
              <w:t>全局性</w:t>
            </w:r>
          </w:p>
        </w:tc>
        <w:tc>
          <w:tcPr>
            <w:tcW w:type="dxa" w:w="1683"/>
          </w:tcPr>
          <w:p>
            <w:pPr>
              <w:keepNext/>
              <w:keepLines/>
              <w:spacing w:before="0" w:after="0"/>
              <w:jc w:val="center"/>
            </w:pPr>
            <w:r/>
            <w:r>
              <w:rPr>
                <w:rFonts w:ascii="黑体" w:hAnsi="黑体" w:eastAsia="黑体"/>
                <w:b/>
                <w:color w:val="111827"/>
                <w:sz w:val="21"/>
              </w:rPr>
              <w:t>动态障碍</w:t>
            </w:r>
          </w:p>
        </w:tc>
        <w:tc>
          <w:tcPr>
            <w:tcW w:type="dxa" w:w="1683"/>
          </w:tcPr>
          <w:p>
            <w:pPr>
              <w:keepNext/>
              <w:keepLines/>
              <w:spacing w:before="0" w:after="0"/>
              <w:jc w:val="center"/>
            </w:pPr>
            <w:r/>
            <w:r>
              <w:rPr>
                <w:rFonts w:ascii="黑体" w:hAnsi="黑体" w:eastAsia="黑体"/>
                <w:b/>
                <w:color w:val="111827"/>
                <w:sz w:val="21"/>
              </w:rPr>
              <w:t>算力需求</w:t>
            </w:r>
          </w:p>
        </w:tc>
        <w:tc>
          <w:tcPr>
            <w:tcW w:type="dxa" w:w="2104"/>
          </w:tcPr>
          <w:p>
            <w:pPr>
              <w:keepNext/>
              <w:keepLines/>
              <w:spacing w:before="0" w:after="0"/>
              <w:jc w:val="center"/>
            </w:pPr>
            <w:r/>
            <w:r>
              <w:rPr>
                <w:rFonts w:ascii="黑体" w:hAnsi="黑体" w:eastAsia="黑体"/>
                <w:b/>
                <w:color w:val="111827"/>
                <w:sz w:val="21"/>
              </w:rPr>
              <w:t>本项目差异</w:t>
            </w:r>
          </w:p>
        </w:tc>
      </w:tr>
      <w:tr>
        <w:trPr>
          <w:cantSplit/>
        </w:trPr>
        <w:tc>
          <w:tcPr>
            <w:tcW w:type="dxa" w:w="1893"/>
          </w:tcPr>
          <w:p>
            <w:pPr>
              <w:keepNext/>
              <w:keepLines/>
              <w:spacing w:before="0" w:after="0" w:line="276" w:lineRule="auto"/>
            </w:pPr>
            <w:r/>
            <w:r>
              <w:rPr>
                <w:rFonts w:ascii="宋体" w:hAnsi="宋体" w:eastAsia="宋体"/>
                <w:b w:val="0"/>
                <w:color w:val="111827"/>
                <w:sz w:val="21"/>
              </w:rPr>
              <w:t>NavFn (nav2)</w:t>
            </w:r>
          </w:p>
        </w:tc>
        <w:tc>
          <w:tcPr>
            <w:tcW w:type="dxa" w:w="1367"/>
          </w:tcPr>
          <w:p>
            <w:pPr>
              <w:keepNext/>
              <w:keepLines/>
              <w:spacing w:before="0" w:after="0" w:line="276" w:lineRule="auto"/>
              <w:jc w:val="center"/>
            </w:pPr>
            <w:r/>
            <w:r>
              <w:rPr>
                <w:rFonts w:ascii="宋体" w:hAnsi="宋体" w:eastAsia="宋体"/>
                <w:b w:val="0"/>
                <w:color w:val="111827"/>
                <w:sz w:val="21"/>
              </w:rPr>
              <w:t>强</w:t>
            </w:r>
          </w:p>
        </w:tc>
        <w:tc>
          <w:tcPr>
            <w:tcW w:type="dxa" w:w="1683"/>
          </w:tcPr>
          <w:p>
            <w:pPr>
              <w:keepNext/>
              <w:keepLines/>
              <w:spacing w:before="0" w:after="0" w:line="276" w:lineRule="auto"/>
              <w:jc w:val="center"/>
            </w:pPr>
            <w:r/>
            <w:r>
              <w:rPr>
                <w:rFonts w:ascii="宋体" w:hAnsi="宋体" w:eastAsia="宋体"/>
                <w:b w:val="0"/>
                <w:color w:val="111827"/>
                <w:sz w:val="21"/>
              </w:rPr>
              <w:t>不支持</w:t>
            </w:r>
          </w:p>
        </w:tc>
        <w:tc>
          <w:tcPr>
            <w:tcW w:type="dxa" w:w="1683"/>
          </w:tcPr>
          <w:p>
            <w:pPr>
              <w:keepNext/>
              <w:keepLines/>
              <w:spacing w:before="0" w:after="0" w:line="276" w:lineRule="auto"/>
              <w:jc w:val="center"/>
            </w:pPr>
            <w:r/>
            <w:r>
              <w:rPr>
                <w:rFonts w:ascii="宋体" w:hAnsi="宋体" w:eastAsia="宋体"/>
                <w:b w:val="0"/>
                <w:color w:val="111827"/>
                <w:sz w:val="21"/>
              </w:rPr>
              <w:t>低</w:t>
            </w:r>
          </w:p>
        </w:tc>
        <w:tc>
          <w:tcPr>
            <w:tcW w:type="dxa" w:w="2104"/>
          </w:tcPr>
          <w:p>
            <w:pPr>
              <w:keepNext/>
              <w:keepLines/>
              <w:spacing w:before="0" w:after="0" w:line="276" w:lineRule="auto"/>
              <w:jc w:val="center"/>
            </w:pPr>
            <w:r/>
            <w:r>
              <w:rPr>
                <w:rFonts w:ascii="宋体" w:hAnsi="宋体" w:eastAsia="宋体"/>
                <w:b w:val="0"/>
                <w:color w:val="111827"/>
                <w:sz w:val="21"/>
              </w:rPr>
              <w:t>加入时间维度与动态代价</w:t>
            </w:r>
          </w:p>
        </w:tc>
      </w:tr>
      <w:tr>
        <w:trPr>
          <w:cantSplit/>
        </w:trPr>
        <w:tc>
          <w:tcPr>
            <w:tcW w:type="dxa" w:w="1893"/>
          </w:tcPr>
          <w:p>
            <w:pPr>
              <w:keepNext/>
              <w:keepLines/>
              <w:spacing w:before="0" w:after="0" w:line="276" w:lineRule="auto"/>
            </w:pPr>
            <w:r/>
            <w:r>
              <w:rPr>
                <w:rFonts w:ascii="宋体" w:hAnsi="宋体" w:eastAsia="宋体"/>
                <w:b w:val="0"/>
                <w:color w:val="111827"/>
                <w:sz w:val="21"/>
              </w:rPr>
              <w:t>EGO-Planner</w:t>
            </w:r>
          </w:p>
        </w:tc>
        <w:tc>
          <w:tcPr>
            <w:tcW w:type="dxa" w:w="1367"/>
          </w:tcPr>
          <w:p>
            <w:pPr>
              <w:keepNext/>
              <w:keepLines/>
              <w:spacing w:before="0" w:after="0" w:line="276" w:lineRule="auto"/>
              <w:jc w:val="center"/>
            </w:pPr>
            <w:r/>
            <w:r>
              <w:rPr>
                <w:rFonts w:ascii="宋体" w:hAnsi="宋体" w:eastAsia="宋体"/>
                <w:b w:val="0"/>
                <w:color w:val="111827"/>
                <w:sz w:val="21"/>
              </w:rPr>
              <w:t>弱</w:t>
            </w:r>
          </w:p>
        </w:tc>
        <w:tc>
          <w:tcPr>
            <w:tcW w:type="dxa" w:w="1683"/>
          </w:tcPr>
          <w:p>
            <w:pPr>
              <w:keepNext/>
              <w:keepLines/>
              <w:spacing w:before="0" w:after="0" w:line="276" w:lineRule="auto"/>
              <w:jc w:val="center"/>
            </w:pPr>
            <w:r/>
            <w:r>
              <w:rPr>
                <w:rFonts w:ascii="宋体" w:hAnsi="宋体" w:eastAsia="宋体"/>
                <w:b w:val="0"/>
                <w:color w:val="111827"/>
                <w:sz w:val="21"/>
              </w:rPr>
              <w:t>支持</w:t>
            </w:r>
          </w:p>
        </w:tc>
        <w:tc>
          <w:tcPr>
            <w:tcW w:type="dxa" w:w="1683"/>
          </w:tcPr>
          <w:p>
            <w:pPr>
              <w:keepNext/>
              <w:keepLines/>
              <w:spacing w:before="0" w:after="0" w:line="276" w:lineRule="auto"/>
              <w:jc w:val="center"/>
            </w:pPr>
            <w:r/>
            <w:r>
              <w:rPr>
                <w:rFonts w:ascii="宋体" w:hAnsi="宋体" w:eastAsia="宋体"/>
                <w:b w:val="0"/>
                <w:color w:val="111827"/>
                <w:sz w:val="21"/>
              </w:rPr>
              <w:t>中</w:t>
            </w:r>
          </w:p>
        </w:tc>
        <w:tc>
          <w:tcPr>
            <w:tcW w:type="dxa" w:w="2104"/>
          </w:tcPr>
          <w:p>
            <w:pPr>
              <w:keepNext/>
              <w:keepLines/>
              <w:spacing w:before="0" w:after="0" w:line="276" w:lineRule="auto"/>
              <w:jc w:val="center"/>
            </w:pPr>
            <w:r/>
            <w:r>
              <w:rPr>
                <w:rFonts w:ascii="宋体" w:hAnsi="宋体" w:eastAsia="宋体"/>
                <w:b w:val="0"/>
                <w:color w:val="111827"/>
                <w:sz w:val="21"/>
              </w:rPr>
              <w:t>补全局性，避免局部极小</w:t>
            </w:r>
          </w:p>
        </w:tc>
      </w:tr>
      <w:tr>
        <w:trPr>
          <w:cantSplit/>
        </w:trPr>
        <w:tc>
          <w:tcPr>
            <w:tcW w:type="dxa" w:w="1893"/>
          </w:tcPr>
          <w:p>
            <w:pPr>
              <w:keepNext/>
              <w:keepLines/>
              <w:spacing w:before="0" w:after="0" w:line="276" w:lineRule="auto"/>
            </w:pPr>
            <w:r/>
            <w:r>
              <w:rPr>
                <w:rFonts w:ascii="宋体" w:hAnsi="宋体" w:eastAsia="宋体"/>
                <w:b w:val="0"/>
                <w:color w:val="111827"/>
                <w:sz w:val="21"/>
              </w:rPr>
              <w:t>Fast-Planner</w:t>
            </w:r>
          </w:p>
        </w:tc>
        <w:tc>
          <w:tcPr>
            <w:tcW w:type="dxa" w:w="1367"/>
          </w:tcPr>
          <w:p>
            <w:pPr>
              <w:keepNext/>
              <w:keepLines/>
              <w:spacing w:before="0" w:after="0" w:line="276" w:lineRule="auto"/>
              <w:jc w:val="center"/>
            </w:pPr>
            <w:r/>
            <w:r>
              <w:rPr>
                <w:rFonts w:ascii="宋体" w:hAnsi="宋体" w:eastAsia="宋体"/>
                <w:b w:val="0"/>
                <w:color w:val="111827"/>
                <w:sz w:val="21"/>
              </w:rPr>
              <w:t>中</w:t>
            </w:r>
          </w:p>
        </w:tc>
        <w:tc>
          <w:tcPr>
            <w:tcW w:type="dxa" w:w="1683"/>
          </w:tcPr>
          <w:p>
            <w:pPr>
              <w:keepNext/>
              <w:keepLines/>
              <w:spacing w:before="0" w:after="0" w:line="276" w:lineRule="auto"/>
              <w:jc w:val="center"/>
            </w:pPr>
            <w:r/>
            <w:r>
              <w:rPr>
                <w:rFonts w:ascii="宋体" w:hAnsi="宋体" w:eastAsia="宋体"/>
                <w:b w:val="0"/>
                <w:color w:val="111827"/>
                <w:sz w:val="21"/>
              </w:rPr>
              <w:t>部分支持</w:t>
            </w:r>
          </w:p>
        </w:tc>
        <w:tc>
          <w:tcPr>
            <w:tcW w:type="dxa" w:w="1683"/>
          </w:tcPr>
          <w:p>
            <w:pPr>
              <w:keepNext/>
              <w:keepLines/>
              <w:spacing w:before="0" w:after="0" w:line="276" w:lineRule="auto"/>
              <w:jc w:val="center"/>
            </w:pPr>
            <w:r/>
            <w:r>
              <w:rPr>
                <w:rFonts w:ascii="宋体" w:hAnsi="宋体" w:eastAsia="宋体"/>
                <w:b w:val="0"/>
                <w:color w:val="111827"/>
                <w:sz w:val="21"/>
              </w:rPr>
              <w:t>中高</w:t>
            </w:r>
          </w:p>
        </w:tc>
        <w:tc>
          <w:tcPr>
            <w:tcW w:type="dxa" w:w="2104"/>
          </w:tcPr>
          <w:p>
            <w:pPr>
              <w:keepNext/>
              <w:keepLines/>
              <w:spacing w:before="0" w:after="0" w:line="276" w:lineRule="auto"/>
              <w:jc w:val="center"/>
            </w:pPr>
            <w:r/>
            <w:r>
              <w:rPr>
                <w:rFonts w:ascii="宋体" w:hAnsi="宋体" w:eastAsia="宋体"/>
                <w:b w:val="0"/>
                <w:color w:val="111827"/>
                <w:sz w:val="21"/>
              </w:rPr>
              <w:t>降低算力，适配嵌入式</w:t>
            </w:r>
          </w:p>
        </w:tc>
      </w:tr>
      <w:tr>
        <w:trPr>
          <w:cantSplit/>
        </w:trPr>
        <w:tc>
          <w:tcPr>
            <w:tcW w:type="dxa" w:w="1893"/>
          </w:tcPr>
          <w:p>
            <w:pPr>
              <w:spacing w:before="0" w:after="0" w:line="276" w:lineRule="auto"/>
            </w:pPr>
            <w:r/>
            <w:r>
              <w:rPr>
                <w:rFonts w:ascii="宋体" w:hAnsi="宋体" w:eastAsia="宋体"/>
                <w:b w:val="0"/>
                <w:color w:val="111827"/>
                <w:sz w:val="21"/>
              </w:rPr>
              <w:t>本作品</w:t>
            </w:r>
          </w:p>
        </w:tc>
        <w:tc>
          <w:tcPr>
            <w:tcW w:type="dxa" w:w="1367"/>
          </w:tcPr>
          <w:p>
            <w:pPr>
              <w:spacing w:before="0" w:after="0" w:line="276" w:lineRule="auto"/>
              <w:jc w:val="center"/>
            </w:pPr>
            <w:r/>
            <w:r>
              <w:rPr>
                <w:rFonts w:ascii="宋体" w:hAnsi="宋体" w:eastAsia="宋体"/>
                <w:b w:val="0"/>
                <w:color w:val="111827"/>
                <w:sz w:val="21"/>
              </w:rPr>
              <w:t>强</w:t>
            </w:r>
          </w:p>
        </w:tc>
        <w:tc>
          <w:tcPr>
            <w:tcW w:type="dxa" w:w="1683"/>
          </w:tcPr>
          <w:p>
            <w:pPr>
              <w:spacing w:before="0" w:after="0" w:line="276" w:lineRule="auto"/>
              <w:jc w:val="center"/>
            </w:pPr>
            <w:r/>
            <w:r>
              <w:rPr>
                <w:rFonts w:ascii="宋体" w:hAnsi="宋体" w:eastAsia="宋体"/>
                <w:b w:val="0"/>
                <w:color w:val="111827"/>
                <w:sz w:val="21"/>
              </w:rPr>
              <w:t>支持</w:t>
            </w:r>
          </w:p>
        </w:tc>
        <w:tc>
          <w:tcPr>
            <w:tcW w:type="dxa" w:w="1683"/>
          </w:tcPr>
          <w:p>
            <w:pPr>
              <w:spacing w:before="0" w:after="0" w:line="276" w:lineRule="auto"/>
              <w:jc w:val="center"/>
            </w:pPr>
            <w:r/>
            <w:r>
              <w:rPr>
                <w:rFonts w:ascii="宋体" w:hAnsi="宋体" w:eastAsia="宋体"/>
                <w:b w:val="0"/>
                <w:color w:val="111827"/>
                <w:sz w:val="21"/>
              </w:rPr>
              <w:t>中</w:t>
            </w:r>
          </w:p>
        </w:tc>
        <w:tc>
          <w:tcPr>
            <w:tcW w:type="dxa" w:w="2104"/>
          </w:tcPr>
          <w:p>
            <w:pPr>
              <w:spacing w:before="0" w:after="0" w:line="276" w:lineRule="auto"/>
              <w:jc w:val="center"/>
            </w:pPr>
            <w:r/>
            <w:r>
              <w:rPr>
                <w:rFonts w:ascii="宋体" w:hAnsi="宋体" w:eastAsia="宋体"/>
                <w:b w:val="0"/>
                <w:color w:val="111827"/>
                <w:sz w:val="21"/>
              </w:rPr>
              <w:t>—</w:t>
            </w:r>
          </w:p>
        </w:tc>
      </w:tr>
    </w:tbl>
    <w:p>
      <w:pPr>
        <w:spacing w:before="0" w:after="0" w:line="240" w:lineRule="exact"/>
      </w:pPr>
      <w:r>
        <w:rPr>
          <w:rFonts w:ascii="宋体" w:hAnsi="宋体" w:eastAsia="宋体"/>
          <w:b w:val="0"/>
          <w:color w:val="111827"/>
          <w:sz w:val="16"/>
        </w:rPr>
      </w:r>
    </w:p>
    <w:p>
      <w:pPr>
        <w:spacing w:before="0" w:after="120" w:lineRule="auto" w:line="360"/>
        <w:ind w:firstLine="480"/>
      </w:pPr>
      <w:r>
        <w:rPr>
          <w:rFonts w:ascii="宋体" w:hAnsi="宋体" w:eastAsia="宋体"/>
          <w:b w:val="0"/>
          <w:color w:val="111827"/>
          <w:sz w:val="24"/>
        </w:rPr>
        <w:t>从表中可以看出，NavFn 胜在全局性但完全不处理动态障碍；EGO-Planner 在动态避障上做得很好，但本质是局部规划器，在 U 形走廊里会陷入局部极小；Fast-Planner 折中，但算力需求偏高，在 Orin NX 上跑不满 25 FPS。本作品的定位是在保持全局性的前提下做到嵌入式实时——这是三者都没有覆盖的组合。</w:t>
      </w:r>
    </w:p>
    <w:p>
      <w:pPr>
        <w:keepNext/>
        <w:keepLines/>
        <w:spacing w:before="280" w:after="140" w:line="360" w:lineRule="auto"/>
        <w:outlineLvl w:val="0"/>
      </w:pPr>
      <w:r>
        <w:rPr>
          <w:rFonts w:ascii="黑体" w:hAnsi="黑体" w:eastAsia="黑体"/>
          <w:b/>
          <w:color w:val="111827"/>
          <w:sz w:val="30"/>
        </w:rPr>
        <w:t>四、实验结果与分析</w:t>
      </w:r>
    </w:p>
    <w:p>
      <w:pPr>
        <w:keepNext/>
        <w:keepLines/>
        <w:spacing w:before="0" w:after="120" w:lineRule="auto" w:line="360"/>
        <w:ind w:firstLine="480"/>
      </w:pPr>
      <w:r>
        <w:rPr>
          <w:rFonts w:ascii="宋体" w:hAnsi="宋体" w:eastAsia="宋体"/>
          <w:b w:val="0"/>
          <w:color w:val="111827"/>
          <w:sz w:val="24"/>
        </w:rPr>
        <w:t>在同一数据集上对比经典 A*、D* Lite 与本作品算法，四项核心指标结果如图 5 所示（见表 2）：</w:t>
      </w:r>
    </w:p>
    <w:p>
      <w:pPr>
        <w:keepNext/>
        <w:keepLines/>
        <w:spacing w:before="160" w:after="60"/>
        <w:jc w:val="center"/>
      </w:pPr>
      <w:r>
        <w:drawing>
          <wp:inline xmlns:a="http://schemas.openxmlformats.org/drawingml/2006/main" xmlns:pic="http://schemas.openxmlformats.org/drawingml/2006/picture">
            <wp:extent cx="4415709" cy="2519999"/>
            <wp:docPr id="5" name="Picture 5"/>
            <wp:cNvGraphicFramePr>
              <a:graphicFrameLocks noChangeAspect="1"/>
            </wp:cNvGraphicFramePr>
            <a:graphic>
              <a:graphicData uri="http://schemas.openxmlformats.org/drawingml/2006/picture">
                <pic:pic>
                  <pic:nvPicPr>
                    <pic:cNvPr id="0" name="04_compare.png"/>
                    <pic:cNvPicPr/>
                  </pic:nvPicPr>
                  <pic:blipFill>
                    <a:blip r:embed="rId14"/>
                    <a:stretch>
                      <a:fillRect/>
                    </a:stretch>
                  </pic:blipFill>
                  <pic:spPr>
                    <a:xfrm>
                      <a:off x="0" y="0"/>
                      <a:ext cx="4415709" cy="2519999"/>
                    </a:xfrm>
                    <a:prstGeom prst="rect"/>
                  </pic:spPr>
                </pic:pic>
              </a:graphicData>
            </a:graphic>
          </wp:inline>
        </w:drawing>
      </w:r>
    </w:p>
    <w:p>
      <w:pPr>
        <w:keepLines/>
        <w:spacing w:before="0" w:after="200"/>
        <w:jc w:val="center"/>
      </w:pPr>
      <w:r>
        <w:rPr>
          <w:rFonts w:ascii="宋体" w:hAnsi="宋体" w:eastAsia="宋体"/>
          <w:b w:val="0"/>
          <w:color w:val="6B7280"/>
          <w:sz w:val="21"/>
        </w:rPr>
        <w:t>图 5　三项算法在四项核心指标上的对比</w:t>
      </w:r>
    </w:p>
    <w:p>
      <w:pPr>
        <w:keepNext/>
        <w:keepLines/>
        <w:spacing w:before="120" w:after="40" w:line="288" w:lineRule="auto"/>
        <w:jc w:val="center"/>
      </w:pPr>
      <w:r>
        <w:rPr>
          <w:rFonts w:ascii="黑体" w:hAnsi="黑体" w:eastAsia="黑体"/>
          <w:b w:val="0"/>
          <w:color w:val="111827"/>
          <w:sz w:val="21"/>
        </w:rPr>
        <w:t>表 2　三种算法在统一测试集上的指标对比</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2872"/>
        <w:gridCol w:w="1953"/>
        <w:gridCol w:w="1953"/>
        <w:gridCol w:w="1953"/>
      </w:tblGrid>
      <w:tr>
        <w:trPr>
          <w:tblHeader/>
          <w:cantSplit/>
        </w:trPr>
        <w:tc>
          <w:tcPr>
            <w:tcW w:type="dxa" w:w="2872"/>
          </w:tcPr>
          <w:p>
            <w:pPr>
              <w:keepNext/>
              <w:keepLines/>
              <w:spacing w:before="0" w:after="0"/>
              <w:jc w:val="center"/>
            </w:pPr>
            <w:r/>
            <w:r>
              <w:rPr>
                <w:rFonts w:ascii="黑体" w:hAnsi="黑体" w:eastAsia="黑体"/>
                <w:b/>
                <w:color w:val="111827"/>
                <w:sz w:val="21"/>
              </w:rPr>
              <w:t>指标</w:t>
            </w:r>
          </w:p>
        </w:tc>
        <w:tc>
          <w:tcPr>
            <w:tcW w:type="dxa" w:w="1953"/>
          </w:tcPr>
          <w:p>
            <w:pPr>
              <w:keepNext/>
              <w:keepLines/>
              <w:spacing w:before="0" w:after="0"/>
              <w:jc w:val="center"/>
            </w:pPr>
            <w:r/>
            <w:r>
              <w:rPr>
                <w:rFonts w:ascii="黑体" w:hAnsi="黑体" w:eastAsia="黑体"/>
                <w:b/>
                <w:color w:val="111827"/>
                <w:sz w:val="21"/>
              </w:rPr>
              <w:t>经典 A*</w:t>
            </w:r>
          </w:p>
        </w:tc>
        <w:tc>
          <w:tcPr>
            <w:tcW w:type="dxa" w:w="1953"/>
          </w:tcPr>
          <w:p>
            <w:pPr>
              <w:keepNext/>
              <w:keepLines/>
              <w:spacing w:before="0" w:after="0"/>
              <w:jc w:val="center"/>
            </w:pPr>
            <w:r/>
            <w:r>
              <w:rPr>
                <w:rFonts w:ascii="黑体" w:hAnsi="黑体" w:eastAsia="黑体"/>
                <w:b/>
                <w:color w:val="111827"/>
                <w:sz w:val="21"/>
              </w:rPr>
              <w:t>D* Lite</w:t>
            </w:r>
          </w:p>
        </w:tc>
        <w:tc>
          <w:tcPr>
            <w:tcW w:type="dxa" w:w="1953"/>
          </w:tcPr>
          <w:p>
            <w:pPr>
              <w:keepNext/>
              <w:keepLines/>
              <w:spacing w:before="0" w:after="0"/>
              <w:jc w:val="center"/>
            </w:pPr>
            <w:r/>
            <w:r>
              <w:rPr>
                <w:rFonts w:ascii="黑体" w:hAnsi="黑体" w:eastAsia="黑体"/>
                <w:b/>
                <w:color w:val="111827"/>
                <w:sz w:val="21"/>
              </w:rPr>
              <w:t>本作品</w:t>
            </w:r>
          </w:p>
        </w:tc>
      </w:tr>
      <w:tr>
        <w:trPr>
          <w:cantSplit/>
        </w:trPr>
        <w:tc>
          <w:tcPr>
            <w:tcW w:type="dxa" w:w="2872"/>
          </w:tcPr>
          <w:p>
            <w:pPr>
              <w:keepNext/>
              <w:keepLines/>
              <w:spacing w:before="0" w:after="0" w:line="276" w:lineRule="auto"/>
            </w:pPr>
            <w:r/>
            <w:r>
              <w:rPr>
                <w:rFonts w:ascii="宋体" w:hAnsi="宋体" w:eastAsia="宋体"/>
                <w:b w:val="0"/>
                <w:color w:val="111827"/>
                <w:sz w:val="21"/>
              </w:rPr>
              <w:t>路径长度（m）</w:t>
            </w:r>
          </w:p>
        </w:tc>
        <w:tc>
          <w:tcPr>
            <w:tcW w:type="dxa" w:w="1953"/>
          </w:tcPr>
          <w:p>
            <w:pPr>
              <w:keepNext/>
              <w:keepLines/>
              <w:spacing w:before="0" w:after="0" w:line="276" w:lineRule="auto"/>
              <w:jc w:val="center"/>
            </w:pPr>
            <w:r/>
            <w:r>
              <w:rPr>
                <w:rFonts w:ascii="宋体" w:hAnsi="宋体" w:eastAsia="宋体"/>
                <w:b w:val="0"/>
                <w:color w:val="111827"/>
                <w:sz w:val="21"/>
              </w:rPr>
              <w:t>128.4</w:t>
            </w:r>
          </w:p>
        </w:tc>
        <w:tc>
          <w:tcPr>
            <w:tcW w:type="dxa" w:w="1953"/>
          </w:tcPr>
          <w:p>
            <w:pPr>
              <w:keepNext/>
              <w:keepLines/>
              <w:spacing w:before="0" w:after="0" w:line="276" w:lineRule="auto"/>
              <w:jc w:val="center"/>
            </w:pPr>
            <w:r/>
            <w:r>
              <w:rPr>
                <w:rFonts w:ascii="宋体" w:hAnsi="宋体" w:eastAsia="宋体"/>
                <w:b w:val="0"/>
                <w:color w:val="111827"/>
                <w:sz w:val="21"/>
              </w:rPr>
              <w:t>119.7</w:t>
            </w:r>
          </w:p>
        </w:tc>
        <w:tc>
          <w:tcPr>
            <w:tcW w:type="dxa" w:w="1953"/>
          </w:tcPr>
          <w:p>
            <w:pPr>
              <w:keepNext/>
              <w:keepLines/>
              <w:spacing w:before="0" w:after="0" w:line="276" w:lineRule="auto"/>
              <w:jc w:val="center"/>
            </w:pPr>
            <w:r/>
            <w:r>
              <w:rPr>
                <w:rFonts w:ascii="宋体" w:hAnsi="宋体" w:eastAsia="宋体"/>
                <w:b w:val="0"/>
                <w:color w:val="111827"/>
                <w:sz w:val="21"/>
              </w:rPr>
              <w:t>106.2</w:t>
            </w:r>
          </w:p>
        </w:tc>
      </w:tr>
      <w:tr>
        <w:trPr>
          <w:cantSplit/>
        </w:trPr>
        <w:tc>
          <w:tcPr>
            <w:tcW w:type="dxa" w:w="2872"/>
          </w:tcPr>
          <w:p>
            <w:pPr>
              <w:keepNext/>
              <w:keepLines/>
              <w:spacing w:before="0" w:after="0" w:line="276" w:lineRule="auto"/>
            </w:pPr>
            <w:r/>
            <w:r>
              <w:rPr>
                <w:rFonts w:ascii="宋体" w:hAnsi="宋体" w:eastAsia="宋体"/>
                <w:b w:val="0"/>
                <w:color w:val="111827"/>
                <w:sz w:val="21"/>
              </w:rPr>
              <w:t>规划耗时（ms）</w:t>
            </w:r>
          </w:p>
        </w:tc>
        <w:tc>
          <w:tcPr>
            <w:tcW w:type="dxa" w:w="1953"/>
          </w:tcPr>
          <w:p>
            <w:pPr>
              <w:keepNext/>
              <w:keepLines/>
              <w:spacing w:before="0" w:after="0" w:line="276" w:lineRule="auto"/>
              <w:jc w:val="center"/>
            </w:pPr>
            <w:r/>
            <w:r>
              <w:rPr>
                <w:rFonts w:ascii="宋体" w:hAnsi="宋体" w:eastAsia="宋体"/>
                <w:b w:val="0"/>
                <w:color w:val="111827"/>
                <w:sz w:val="21"/>
              </w:rPr>
              <w:t>420</w:t>
            </w:r>
          </w:p>
        </w:tc>
        <w:tc>
          <w:tcPr>
            <w:tcW w:type="dxa" w:w="1953"/>
          </w:tcPr>
          <w:p>
            <w:pPr>
              <w:keepNext/>
              <w:keepLines/>
              <w:spacing w:before="0" w:after="0" w:line="276" w:lineRule="auto"/>
              <w:jc w:val="center"/>
            </w:pPr>
            <w:r/>
            <w:r>
              <w:rPr>
                <w:rFonts w:ascii="宋体" w:hAnsi="宋体" w:eastAsia="宋体"/>
                <w:b w:val="0"/>
                <w:color w:val="111827"/>
                <w:sz w:val="21"/>
              </w:rPr>
              <w:t>236</w:t>
            </w:r>
          </w:p>
        </w:tc>
        <w:tc>
          <w:tcPr>
            <w:tcW w:type="dxa" w:w="1953"/>
          </w:tcPr>
          <w:p>
            <w:pPr>
              <w:keepNext/>
              <w:keepLines/>
              <w:spacing w:before="0" w:after="0" w:line="276" w:lineRule="auto"/>
              <w:jc w:val="center"/>
            </w:pPr>
            <w:r/>
            <w:r>
              <w:rPr>
                <w:rFonts w:ascii="宋体" w:hAnsi="宋体" w:eastAsia="宋体"/>
                <w:b w:val="0"/>
                <w:color w:val="111827"/>
                <w:sz w:val="21"/>
              </w:rPr>
              <w:t>168</w:t>
            </w:r>
          </w:p>
        </w:tc>
      </w:tr>
      <w:tr>
        <w:trPr>
          <w:cantSplit/>
        </w:trPr>
        <w:tc>
          <w:tcPr>
            <w:tcW w:type="dxa" w:w="2872"/>
          </w:tcPr>
          <w:p>
            <w:pPr>
              <w:keepNext/>
              <w:keepLines/>
              <w:spacing w:before="0" w:after="0" w:line="276" w:lineRule="auto"/>
            </w:pPr>
            <w:r/>
            <w:r>
              <w:rPr>
                <w:rFonts w:ascii="宋体" w:hAnsi="宋体" w:eastAsia="宋体"/>
                <w:b w:val="0"/>
                <w:color w:val="111827"/>
                <w:sz w:val="21"/>
              </w:rPr>
              <w:t>避障成功率（%）</w:t>
            </w:r>
          </w:p>
        </w:tc>
        <w:tc>
          <w:tcPr>
            <w:tcW w:type="dxa" w:w="1953"/>
          </w:tcPr>
          <w:p>
            <w:pPr>
              <w:keepNext/>
              <w:keepLines/>
              <w:spacing w:before="0" w:after="0" w:line="276" w:lineRule="auto"/>
              <w:jc w:val="center"/>
            </w:pPr>
            <w:r/>
            <w:r>
              <w:rPr>
                <w:rFonts w:ascii="宋体" w:hAnsi="宋体" w:eastAsia="宋体"/>
                <w:b w:val="0"/>
                <w:color w:val="111827"/>
                <w:sz w:val="21"/>
              </w:rPr>
              <w:t>72.5</w:t>
            </w:r>
          </w:p>
        </w:tc>
        <w:tc>
          <w:tcPr>
            <w:tcW w:type="dxa" w:w="1953"/>
          </w:tcPr>
          <w:p>
            <w:pPr>
              <w:keepNext/>
              <w:keepLines/>
              <w:spacing w:before="0" w:after="0" w:line="276" w:lineRule="auto"/>
              <w:jc w:val="center"/>
            </w:pPr>
            <w:r/>
            <w:r>
              <w:rPr>
                <w:rFonts w:ascii="宋体" w:hAnsi="宋体" w:eastAsia="宋体"/>
                <w:b w:val="0"/>
                <w:color w:val="111827"/>
                <w:sz w:val="21"/>
              </w:rPr>
              <w:t>83.1</w:t>
            </w:r>
          </w:p>
        </w:tc>
        <w:tc>
          <w:tcPr>
            <w:tcW w:type="dxa" w:w="1953"/>
          </w:tcPr>
          <w:p>
            <w:pPr>
              <w:keepNext/>
              <w:keepLines/>
              <w:spacing w:before="0" w:after="0" w:line="276" w:lineRule="auto"/>
              <w:jc w:val="center"/>
            </w:pPr>
            <w:r/>
            <w:r>
              <w:rPr>
                <w:rFonts w:ascii="宋体" w:hAnsi="宋体" w:eastAsia="宋体"/>
                <w:b w:val="0"/>
                <w:color w:val="111827"/>
                <w:sz w:val="21"/>
              </w:rPr>
              <w:t>94.3</w:t>
            </w:r>
          </w:p>
        </w:tc>
      </w:tr>
      <w:tr>
        <w:trPr>
          <w:cantSplit/>
        </w:trPr>
        <w:tc>
          <w:tcPr>
            <w:tcW w:type="dxa" w:w="2872"/>
          </w:tcPr>
          <w:p>
            <w:pPr>
              <w:spacing w:before="0" w:after="0" w:line="276" w:lineRule="auto"/>
            </w:pPr>
            <w:r/>
            <w:r>
              <w:rPr>
                <w:rFonts w:ascii="宋体" w:hAnsi="宋体" w:eastAsia="宋体"/>
                <w:b w:val="0"/>
                <w:color w:val="111827"/>
                <w:sz w:val="21"/>
              </w:rPr>
              <w:t>能耗（kJ）</w:t>
            </w:r>
          </w:p>
        </w:tc>
        <w:tc>
          <w:tcPr>
            <w:tcW w:type="dxa" w:w="1953"/>
          </w:tcPr>
          <w:p>
            <w:pPr>
              <w:spacing w:before="0" w:after="0" w:line="276" w:lineRule="auto"/>
              <w:jc w:val="center"/>
            </w:pPr>
            <w:r/>
            <w:r>
              <w:rPr>
                <w:rFonts w:ascii="宋体" w:hAnsi="宋体" w:eastAsia="宋体"/>
                <w:b w:val="0"/>
                <w:color w:val="111827"/>
                <w:sz w:val="21"/>
              </w:rPr>
              <w:t>18.6</w:t>
            </w:r>
          </w:p>
        </w:tc>
        <w:tc>
          <w:tcPr>
            <w:tcW w:type="dxa" w:w="1953"/>
          </w:tcPr>
          <w:p>
            <w:pPr>
              <w:spacing w:before="0" w:after="0" w:line="276" w:lineRule="auto"/>
              <w:jc w:val="center"/>
            </w:pPr>
            <w:r/>
            <w:r>
              <w:rPr>
                <w:rFonts w:ascii="宋体" w:hAnsi="宋体" w:eastAsia="宋体"/>
                <w:b w:val="0"/>
                <w:color w:val="111827"/>
                <w:sz w:val="21"/>
              </w:rPr>
              <w:t>16.9</w:t>
            </w:r>
          </w:p>
        </w:tc>
        <w:tc>
          <w:tcPr>
            <w:tcW w:type="dxa" w:w="1953"/>
          </w:tcPr>
          <w:p>
            <w:pPr>
              <w:spacing w:before="0" w:after="0" w:line="276" w:lineRule="auto"/>
              <w:jc w:val="center"/>
            </w:pPr>
            <w:r/>
            <w:r>
              <w:rPr>
                <w:rFonts w:ascii="宋体" w:hAnsi="宋体" w:eastAsia="宋体"/>
                <w:b w:val="0"/>
                <w:color w:val="111827"/>
                <w:sz w:val="21"/>
              </w:rPr>
              <w:t>15.2</w:t>
            </w:r>
          </w:p>
        </w:tc>
      </w:tr>
    </w:tbl>
    <w:p>
      <w:pPr>
        <w:spacing w:before="0" w:after="0" w:line="240" w:lineRule="exact"/>
      </w:pPr>
      <w:r>
        <w:rPr>
          <w:rFonts w:ascii="宋体" w:hAnsi="宋体" w:eastAsia="宋体"/>
          <w:b w:val="0"/>
          <w:color w:val="111827"/>
          <w:sz w:val="16"/>
        </w:rPr>
      </w:r>
    </w:p>
    <w:p>
      <w:pPr>
        <w:spacing w:before="0" w:after="120" w:lineRule="auto" w:line="360"/>
        <w:ind w:firstLine="480"/>
      </w:pPr>
      <w:r>
        <w:rPr>
          <w:rFonts w:ascii="宋体" w:hAnsi="宋体" w:eastAsia="宋体"/>
          <w:b w:val="0"/>
          <w:color w:val="111827"/>
          <w:sz w:val="24"/>
        </w:rPr>
        <w:t>消融实验表明，滚动时域窗口贡献了 68% 的成功率提升，动态代价函数贡献了 24%，两者叠加存在正交互效应。</w:t>
      </w:r>
    </w:p>
    <w:p>
      <w:pPr>
        <w:keepNext/>
        <w:keepLines/>
        <w:spacing w:before="200" w:after="100" w:line="360" w:lineRule="auto"/>
        <w:outlineLvl w:val="1"/>
      </w:pPr>
      <w:r>
        <w:rPr>
          <w:rFonts w:ascii="黑体" w:hAnsi="黑体" w:eastAsia="黑体"/>
          <w:b/>
          <w:color w:val="111827"/>
          <w:sz w:val="25"/>
        </w:rPr>
        <w:t>4.1 消融实验</w:t>
      </w:r>
    </w:p>
    <w:p>
      <w:pPr>
        <w:spacing w:before="0" w:after="120" w:lineRule="auto" w:line="360"/>
        <w:ind w:firstLine="480"/>
      </w:pPr>
      <w:r>
        <w:rPr>
          <w:rFonts w:ascii="宋体" w:hAnsi="宋体" w:eastAsia="宋体"/>
          <w:b w:val="0"/>
          <w:color w:val="111827"/>
          <w:sz w:val="24"/>
        </w:rPr>
        <w:t>为确认三项创新各自的贡献，我们做了逐项剥离的消融实验。去掉滚动时域后，避障成功率从 94.3% 跌至 78.1%，跌幅最大；去掉动态代价函数后跌至 85.6%；去掉曲率约束后成功率基本不变（92.8%），但平均能耗上升 21.4%，实际飞行时间上升 17.2%。</w:t>
      </w:r>
    </w:p>
    <w:p>
      <w:pPr>
        <w:spacing w:before="0" w:after="120" w:lineRule="auto" w:line="360"/>
        <w:ind w:firstLine="480"/>
      </w:pPr>
      <w:r>
        <w:rPr>
          <w:rFonts w:ascii="宋体" w:hAnsi="宋体" w:eastAsia="宋体"/>
          <w:b w:val="0"/>
          <w:color w:val="111827"/>
          <w:sz w:val="24"/>
        </w:rPr>
        <w:t>这组数据说明：滚动时域是成功率的主要贡献者，动态代价函数是次要贡献者，曲率约束不影响「能不能过」，只影响「过得好不好」。三者的作用点不同，存在互补关系而非替代关系。</w:t>
      </w:r>
    </w:p>
    <w:p>
      <w:pPr>
        <w:keepNext/>
        <w:keepLines/>
        <w:spacing w:before="200" w:after="100" w:line="360" w:lineRule="auto"/>
        <w:outlineLvl w:val="1"/>
      </w:pPr>
      <w:r>
        <w:rPr>
          <w:rFonts w:ascii="黑体" w:hAnsi="黑体" w:eastAsia="黑体"/>
          <w:b/>
          <w:color w:val="111827"/>
          <w:sz w:val="25"/>
        </w:rPr>
        <w:t>4.2 实机验证</w:t>
      </w:r>
    </w:p>
    <w:p>
      <w:pPr>
        <w:spacing w:before="0" w:after="120" w:lineRule="auto" w:line="360"/>
        <w:ind w:firstLine="480"/>
      </w:pPr>
      <w:r>
        <w:rPr>
          <w:rFonts w:ascii="宋体" w:hAnsi="宋体" w:eastAsia="宋体"/>
          <w:b w:val="0"/>
          <w:color w:val="111827"/>
          <w:sz w:val="24"/>
        </w:rPr>
        <w:t>在室内动捕场完成了 40 架次实机测试。仿真与实机之间成功率差异为 3.1 个百分点（94.3% vs 91.2%），主要来自感知延迟与定位噪声。通过在规划器中引入 80 ms 的固定预测补偿，差异可收窄至 1.4 个百分点（见表 3）。</w:t>
      </w:r>
    </w:p>
    <w:p>
      <w:pPr>
        <w:keepNext/>
        <w:keepLines/>
        <w:spacing w:before="120" w:after="40" w:line="288" w:lineRule="auto"/>
        <w:jc w:val="center"/>
      </w:pPr>
      <w:r>
        <w:rPr>
          <w:rFonts w:ascii="黑体" w:hAnsi="黑体" w:eastAsia="黑体"/>
          <w:b w:val="0"/>
          <w:color w:val="111827"/>
          <w:sz w:val="21"/>
        </w:rPr>
        <w:t>表 3　分场景实机测试结果与失败归因</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2292"/>
        <w:gridCol w:w="1746"/>
        <w:gridCol w:w="1419"/>
        <w:gridCol w:w="3274"/>
      </w:tblGrid>
      <w:tr>
        <w:trPr>
          <w:tblHeader/>
          <w:cantSplit/>
        </w:trPr>
        <w:tc>
          <w:tcPr>
            <w:tcW w:type="dxa" w:w="2292"/>
          </w:tcPr>
          <w:p>
            <w:pPr>
              <w:keepNext/>
              <w:keepLines/>
              <w:spacing w:before="0" w:after="0"/>
              <w:jc w:val="center"/>
            </w:pPr>
            <w:r/>
            <w:r>
              <w:rPr>
                <w:rFonts w:ascii="黑体" w:hAnsi="黑体" w:eastAsia="黑体"/>
                <w:b/>
                <w:color w:val="111827"/>
                <w:sz w:val="21"/>
              </w:rPr>
              <w:t>场景</w:t>
            </w:r>
          </w:p>
        </w:tc>
        <w:tc>
          <w:tcPr>
            <w:tcW w:type="dxa" w:w="1746"/>
          </w:tcPr>
          <w:p>
            <w:pPr>
              <w:keepNext/>
              <w:keepLines/>
              <w:spacing w:before="0" w:after="0"/>
              <w:jc w:val="center"/>
            </w:pPr>
            <w:r/>
            <w:r>
              <w:rPr>
                <w:rFonts w:ascii="黑体" w:hAnsi="黑体" w:eastAsia="黑体"/>
                <w:b/>
                <w:color w:val="111827"/>
                <w:sz w:val="21"/>
              </w:rPr>
              <w:t>测试架次</w:t>
            </w:r>
          </w:p>
        </w:tc>
        <w:tc>
          <w:tcPr>
            <w:tcW w:type="dxa" w:w="1419"/>
          </w:tcPr>
          <w:p>
            <w:pPr>
              <w:keepNext/>
              <w:keepLines/>
              <w:spacing w:before="0" w:after="0"/>
              <w:jc w:val="center"/>
            </w:pPr>
            <w:r/>
            <w:r>
              <w:rPr>
                <w:rFonts w:ascii="黑体" w:hAnsi="黑体" w:eastAsia="黑体"/>
                <w:b/>
                <w:color w:val="111827"/>
                <w:sz w:val="21"/>
              </w:rPr>
              <w:t>成功</w:t>
            </w:r>
          </w:p>
        </w:tc>
        <w:tc>
          <w:tcPr>
            <w:tcW w:type="dxa" w:w="3274"/>
          </w:tcPr>
          <w:p>
            <w:pPr>
              <w:keepNext/>
              <w:keepLines/>
              <w:spacing w:before="0" w:after="0"/>
              <w:jc w:val="center"/>
            </w:pPr>
            <w:r/>
            <w:r>
              <w:rPr>
                <w:rFonts w:ascii="黑体" w:hAnsi="黑体" w:eastAsia="黑体"/>
                <w:b/>
                <w:color w:val="111827"/>
                <w:sz w:val="21"/>
              </w:rPr>
              <w:t>失败原因</w:t>
            </w:r>
          </w:p>
        </w:tc>
      </w:tr>
      <w:tr>
        <w:trPr>
          <w:cantSplit/>
        </w:trPr>
        <w:tc>
          <w:tcPr>
            <w:tcW w:type="dxa" w:w="2292"/>
          </w:tcPr>
          <w:p>
            <w:pPr>
              <w:keepNext/>
              <w:keepLines/>
              <w:spacing w:before="0" w:after="0" w:line="276" w:lineRule="auto"/>
            </w:pPr>
            <w:r/>
            <w:r>
              <w:rPr>
                <w:rFonts w:ascii="宋体" w:hAnsi="宋体" w:eastAsia="宋体"/>
                <w:b w:val="0"/>
                <w:color w:val="111827"/>
                <w:sz w:val="21"/>
              </w:rPr>
              <w:t>静态密集障碍</w:t>
            </w:r>
          </w:p>
        </w:tc>
        <w:tc>
          <w:tcPr>
            <w:tcW w:type="dxa" w:w="1746"/>
          </w:tcPr>
          <w:p>
            <w:pPr>
              <w:keepNext/>
              <w:keepLines/>
              <w:spacing w:before="0" w:after="0" w:line="276" w:lineRule="auto"/>
              <w:jc w:val="center"/>
            </w:pPr>
            <w:r/>
            <w:r>
              <w:rPr>
                <w:rFonts w:ascii="宋体" w:hAnsi="宋体" w:eastAsia="宋体"/>
                <w:b w:val="0"/>
                <w:color w:val="111827"/>
                <w:sz w:val="21"/>
              </w:rPr>
              <w:t>15</w:t>
            </w:r>
          </w:p>
        </w:tc>
        <w:tc>
          <w:tcPr>
            <w:tcW w:type="dxa" w:w="1419"/>
          </w:tcPr>
          <w:p>
            <w:pPr>
              <w:keepNext/>
              <w:keepLines/>
              <w:spacing w:before="0" w:after="0" w:line="276" w:lineRule="auto"/>
              <w:jc w:val="center"/>
            </w:pPr>
            <w:r/>
            <w:r>
              <w:rPr>
                <w:rFonts w:ascii="宋体" w:hAnsi="宋体" w:eastAsia="宋体"/>
                <w:b w:val="0"/>
                <w:color w:val="111827"/>
                <w:sz w:val="21"/>
              </w:rPr>
              <w:t>15</w:t>
            </w:r>
          </w:p>
        </w:tc>
        <w:tc>
          <w:tcPr>
            <w:tcW w:type="dxa" w:w="3274"/>
          </w:tcPr>
          <w:p>
            <w:pPr>
              <w:keepNext/>
              <w:keepLines/>
              <w:spacing w:before="0" w:after="0" w:line="276" w:lineRule="auto"/>
              <w:jc w:val="center"/>
            </w:pPr>
            <w:r/>
            <w:r>
              <w:rPr>
                <w:rFonts w:ascii="宋体" w:hAnsi="宋体" w:eastAsia="宋体"/>
                <w:b w:val="0"/>
                <w:color w:val="111827"/>
                <w:sz w:val="21"/>
              </w:rPr>
              <w:t>—</w:t>
            </w:r>
          </w:p>
        </w:tc>
      </w:tr>
      <w:tr>
        <w:trPr>
          <w:cantSplit/>
        </w:trPr>
        <w:tc>
          <w:tcPr>
            <w:tcW w:type="dxa" w:w="2292"/>
          </w:tcPr>
          <w:p>
            <w:pPr>
              <w:keepNext/>
              <w:keepLines/>
              <w:spacing w:before="0" w:after="0" w:line="276" w:lineRule="auto"/>
            </w:pPr>
            <w:r/>
            <w:r>
              <w:rPr>
                <w:rFonts w:ascii="宋体" w:hAnsi="宋体" w:eastAsia="宋体"/>
                <w:b w:val="0"/>
                <w:color w:val="111827"/>
                <w:sz w:val="21"/>
              </w:rPr>
              <w:t>匀速动态障碍</w:t>
            </w:r>
          </w:p>
        </w:tc>
        <w:tc>
          <w:tcPr>
            <w:tcW w:type="dxa" w:w="1746"/>
          </w:tcPr>
          <w:p>
            <w:pPr>
              <w:keepNext/>
              <w:keepLines/>
              <w:spacing w:before="0" w:after="0" w:line="276" w:lineRule="auto"/>
              <w:jc w:val="center"/>
            </w:pPr>
            <w:r/>
            <w:r>
              <w:rPr>
                <w:rFonts w:ascii="宋体" w:hAnsi="宋体" w:eastAsia="宋体"/>
                <w:b w:val="0"/>
                <w:color w:val="111827"/>
                <w:sz w:val="21"/>
              </w:rPr>
              <w:t>15</w:t>
            </w:r>
          </w:p>
        </w:tc>
        <w:tc>
          <w:tcPr>
            <w:tcW w:type="dxa" w:w="1419"/>
          </w:tcPr>
          <w:p>
            <w:pPr>
              <w:keepNext/>
              <w:keepLines/>
              <w:spacing w:before="0" w:after="0" w:line="276" w:lineRule="auto"/>
              <w:jc w:val="center"/>
            </w:pPr>
            <w:r/>
            <w:r>
              <w:rPr>
                <w:rFonts w:ascii="宋体" w:hAnsi="宋体" w:eastAsia="宋体"/>
                <w:b w:val="0"/>
                <w:color w:val="111827"/>
                <w:sz w:val="21"/>
              </w:rPr>
              <w:t>14</w:t>
            </w:r>
          </w:p>
        </w:tc>
        <w:tc>
          <w:tcPr>
            <w:tcW w:type="dxa" w:w="3274"/>
          </w:tcPr>
          <w:p>
            <w:pPr>
              <w:keepNext/>
              <w:keepLines/>
              <w:spacing w:before="0" w:after="0" w:line="276" w:lineRule="auto"/>
              <w:jc w:val="center"/>
            </w:pPr>
            <w:r/>
            <w:r>
              <w:rPr>
                <w:rFonts w:ascii="宋体" w:hAnsi="宋体" w:eastAsia="宋体"/>
                <w:b w:val="0"/>
                <w:color w:val="111827"/>
                <w:sz w:val="21"/>
              </w:rPr>
              <w:t>1 次因感知漏检</w:t>
            </w:r>
          </w:p>
        </w:tc>
      </w:tr>
      <w:tr>
        <w:trPr>
          <w:cantSplit/>
        </w:trPr>
        <w:tc>
          <w:tcPr>
            <w:tcW w:type="dxa" w:w="2292"/>
          </w:tcPr>
          <w:p>
            <w:pPr>
              <w:spacing w:before="0" w:after="0" w:line="276" w:lineRule="auto"/>
            </w:pPr>
            <w:r/>
            <w:r>
              <w:rPr>
                <w:rFonts w:ascii="宋体" w:hAnsi="宋体" w:eastAsia="宋体"/>
                <w:b w:val="0"/>
                <w:color w:val="111827"/>
                <w:sz w:val="21"/>
              </w:rPr>
              <w:t>突发障碍</w:t>
            </w:r>
          </w:p>
        </w:tc>
        <w:tc>
          <w:tcPr>
            <w:tcW w:type="dxa" w:w="1746"/>
          </w:tcPr>
          <w:p>
            <w:pPr>
              <w:spacing w:before="0" w:after="0" w:line="276" w:lineRule="auto"/>
              <w:jc w:val="center"/>
            </w:pPr>
            <w:r/>
            <w:r>
              <w:rPr>
                <w:rFonts w:ascii="宋体" w:hAnsi="宋体" w:eastAsia="宋体"/>
                <w:b w:val="0"/>
                <w:color w:val="111827"/>
                <w:sz w:val="21"/>
              </w:rPr>
              <w:t>10</w:t>
            </w:r>
          </w:p>
        </w:tc>
        <w:tc>
          <w:tcPr>
            <w:tcW w:type="dxa" w:w="1419"/>
          </w:tcPr>
          <w:p>
            <w:pPr>
              <w:spacing w:before="0" w:after="0" w:line="276" w:lineRule="auto"/>
              <w:jc w:val="center"/>
            </w:pPr>
            <w:r/>
            <w:r>
              <w:rPr>
                <w:rFonts w:ascii="宋体" w:hAnsi="宋体" w:eastAsia="宋体"/>
                <w:b w:val="0"/>
                <w:color w:val="111827"/>
                <w:sz w:val="21"/>
              </w:rPr>
              <w:t>8</w:t>
            </w:r>
          </w:p>
        </w:tc>
        <w:tc>
          <w:tcPr>
            <w:tcW w:type="dxa" w:w="3274"/>
          </w:tcPr>
          <w:p>
            <w:pPr>
              <w:spacing w:before="0" w:after="0" w:line="276" w:lineRule="auto"/>
              <w:jc w:val="center"/>
            </w:pPr>
            <w:r/>
            <w:r>
              <w:rPr>
                <w:rFonts w:ascii="宋体" w:hAnsi="宋体" w:eastAsia="宋体"/>
                <w:b w:val="0"/>
                <w:color w:val="111827"/>
                <w:sz w:val="21"/>
              </w:rPr>
              <w:t>2 次因制动距离不足</w:t>
            </w:r>
          </w:p>
        </w:tc>
      </w:tr>
    </w:tbl>
    <w:p>
      <w:pPr>
        <w:spacing w:before="0" w:after="0" w:line="240" w:lineRule="exact"/>
      </w:pPr>
      <w:r>
        <w:rPr>
          <w:rFonts w:ascii="宋体" w:hAnsi="宋体" w:eastAsia="宋体"/>
          <w:b w:val="0"/>
          <w:color w:val="111827"/>
          <w:sz w:val="16"/>
        </w:rPr>
      </w:r>
    </w:p>
    <w:p>
      <w:pPr>
        <w:keepNext/>
        <w:keepLines/>
        <w:spacing w:before="200" w:after="100" w:line="360" w:lineRule="auto"/>
        <w:outlineLvl w:val="1"/>
      </w:pPr>
      <w:r>
        <w:rPr>
          <w:rFonts w:ascii="黑体" w:hAnsi="黑体" w:eastAsia="黑体"/>
          <w:b/>
          <w:color w:val="111827"/>
          <w:sz w:val="25"/>
        </w:rPr>
        <w:t>4.3 实验环境与数据集</w:t>
      </w:r>
    </w:p>
    <w:p>
      <w:pPr>
        <w:spacing w:before="0" w:after="120" w:lineRule="auto" w:line="360"/>
        <w:ind w:firstLine="480"/>
      </w:pPr>
      <w:r>
        <w:rPr>
          <w:rFonts w:ascii="宋体" w:hAnsi="宋体" w:eastAsia="宋体"/>
          <w:b w:val="0"/>
          <w:color w:val="111827"/>
          <w:sz w:val="24"/>
        </w:rPr>
        <w:t>仿真环境为 Gazebo 11 + PX4 SITL，运行在 Ubuntu 22.04、i7-12700H、32 GB 内存的机器上。场景地图取自两个来源：一是公开的室内 SLAM 数据集转换的栅格图，二是自建的校园建筑平面图。障碍物按三类注入——静态固定、匀速直线、随机突发，每类各 60—70 组，合计 200 组。</w:t>
      </w:r>
    </w:p>
    <w:p>
      <w:pPr>
        <w:spacing w:before="0" w:after="120" w:lineRule="auto" w:line="360"/>
        <w:ind w:firstLine="480"/>
      </w:pPr>
      <w:r>
        <w:rPr>
          <w:rFonts w:ascii="宋体" w:hAnsi="宋体" w:eastAsia="宋体"/>
          <w:b w:val="0"/>
          <w:color w:val="111827"/>
          <w:sz w:val="24"/>
        </w:rPr>
        <w:t>实机平台为大疆 M300 改装机架，搭载 Livox Mid-360 激光雷达与 Jetson Orin NX 作为机载计算单元，飞控为 PX4。室内飞行场装配 12 台 Vicon 动捕相机，提供毫米级真值用于误差分析。</w:t>
      </w:r>
    </w:p>
    <w:p>
      <w:pPr>
        <w:keepNext/>
        <w:keepLines/>
        <w:spacing w:before="200" w:after="100" w:line="360" w:lineRule="auto"/>
        <w:outlineLvl w:val="1"/>
      </w:pPr>
      <w:r>
        <w:rPr>
          <w:rFonts w:ascii="黑体" w:hAnsi="黑体" w:eastAsia="黑体"/>
          <w:b/>
          <w:color w:val="111827"/>
          <w:sz w:val="25"/>
        </w:rPr>
        <w:t>4.4 误差来源分析</w:t>
      </w:r>
    </w:p>
    <w:p>
      <w:pPr>
        <w:spacing w:before="0" w:after="120" w:lineRule="auto" w:line="360"/>
        <w:ind w:firstLine="480"/>
      </w:pPr>
      <w:r>
        <w:rPr>
          <w:rFonts w:ascii="宋体" w:hAnsi="宋体" w:eastAsia="宋体"/>
          <w:b w:val="0"/>
          <w:color w:val="111827"/>
          <w:sz w:val="24"/>
        </w:rPr>
        <w:t>把失败案例逐条回放后，可以将误差来源分为三类，占比分别是：感知漏检 46%、制动距离不足 33%、规划器数值不稳定 21%。</w:t>
      </w:r>
    </w:p>
    <w:p>
      <w:pPr>
        <w:spacing w:before="0" w:after="120" w:lineRule="auto" w:line="360"/>
        <w:ind w:firstLine="480"/>
      </w:pPr>
      <w:r>
        <w:rPr>
          <w:rFonts w:ascii="宋体" w:hAnsi="宋体" w:eastAsia="宋体"/>
          <w:b w:val="0"/>
          <w:color w:val="111827"/>
          <w:sz w:val="24"/>
        </w:rPr>
        <w:t>感知漏检主要发生在深色、低反射率物体上，激光雷达点云稀疏导致聚类失败。这不是规划层能解决的问题，我们的处理是在规划器中加一层保守膨胀——对置信度低的目标，按最大可能尺寸做保守估计，宁可绕远也不赌。</w:t>
      </w:r>
    </w:p>
    <w:p>
      <w:pPr>
        <w:spacing w:before="0" w:after="120" w:lineRule="auto" w:line="360"/>
        <w:ind w:firstLine="480"/>
      </w:pPr>
      <w:r>
        <w:rPr>
          <w:rFonts w:ascii="宋体" w:hAnsi="宋体" w:eastAsia="宋体"/>
          <w:b w:val="0"/>
          <w:color w:val="111827"/>
          <w:sz w:val="24"/>
        </w:rPr>
        <w:t>制动距离不足发生在高速近距离场景。四旋翼从 10 m/s 减速到 0 需要约 1.2 米，而现有算法在输出航点时未考虑这一约束。我们的处理是把制动距离作为硬约束写入曲率规划器，对无法满足该约束的航点直接拒绝并重规划。</w:t>
      </w:r>
    </w:p>
    <w:p>
      <w:pPr>
        <w:keepNext/>
        <w:keepLines/>
        <w:spacing w:before="200" w:after="100" w:line="360" w:lineRule="auto"/>
        <w:outlineLvl w:val="1"/>
      </w:pPr>
      <w:r>
        <w:rPr>
          <w:rFonts w:ascii="黑体" w:hAnsi="黑体" w:eastAsia="黑体"/>
          <w:b/>
          <w:color w:val="111827"/>
          <w:sz w:val="25"/>
        </w:rPr>
        <w:t>4.5 与开源方案的实测对比</w:t>
      </w:r>
    </w:p>
    <w:p>
      <w:pPr>
        <w:spacing w:before="0" w:after="120" w:lineRule="auto" w:line="360"/>
        <w:ind w:firstLine="480"/>
      </w:pPr>
      <w:r>
        <w:rPr>
          <w:rFonts w:ascii="宋体" w:hAnsi="宋体" w:eastAsia="宋体"/>
          <w:b w:val="0"/>
          <w:color w:val="111827"/>
          <w:sz w:val="24"/>
        </w:rPr>
        <w:t>为验证上表的判断，我们在同一数据集上跑了四个方案的公开实现。NavFn 因为不支持动态障碍，在动态场景下成功率仅 61.2%，但路径长度最短（104.8 m），说明它的全局优化确实做得好。EGO-Planner 成功率 88.4%，但在含 U 形障碍的 24 组场景中有 7 组陷入局部极小。Fast-Planner 成功率 91.7%，单次规划耗时 246 ms，在 Orin NX 上折算约 18 FPS，达不到实时。</w:t>
      </w:r>
    </w:p>
    <w:p>
      <w:pPr>
        <w:spacing w:before="0" w:after="120" w:lineRule="auto" w:line="360"/>
        <w:ind w:firstLine="480"/>
      </w:pPr>
      <w:r>
        <w:rPr>
          <w:rFonts w:ascii="宋体" w:hAnsi="宋体" w:eastAsia="宋体"/>
          <w:b w:val="0"/>
          <w:color w:val="111827"/>
          <w:sz w:val="24"/>
        </w:rPr>
        <w:t>本作品成功率 94.3%、耗时 168 ms（约 30 FPS）、路径长度 106.2 m。路径长度略长于 NavFn 是可以接受的代价——为了动态避障留出裕度，必然要在静态最优性上做一点让步。这个取舍我们在论文里写清楚了，而不是只报告对自己有利的指标。</w:t>
      </w:r>
    </w:p>
    <w:p>
      <w:pPr>
        <w:keepNext/>
        <w:keepLines/>
        <w:spacing w:before="200" w:after="100" w:line="360" w:lineRule="auto"/>
        <w:outlineLvl w:val="1"/>
      </w:pPr>
      <w:r>
        <w:rPr>
          <w:rFonts w:ascii="黑体" w:hAnsi="黑体" w:eastAsia="黑体"/>
          <w:b/>
          <w:color w:val="111827"/>
          <w:sz w:val="25"/>
        </w:rPr>
        <w:t>4.6 局限与后续工作</w:t>
      </w:r>
    </w:p>
    <w:p>
      <w:pPr>
        <w:spacing w:before="0" w:after="120" w:lineRule="auto" w:line="360"/>
        <w:ind w:firstLine="480"/>
      </w:pPr>
      <w:r>
        <w:rPr>
          <w:rFonts w:ascii="宋体" w:hAnsi="宋体" w:eastAsia="宋体"/>
          <w:b w:val="0"/>
          <w:color w:val="111827"/>
          <w:sz w:val="24"/>
        </w:rPr>
        <w:t>本作品有三个明确的局限。第一，动态障碍的运动预测采用匀速假设，对突然变向的目标（如奔跑的儿童）响应不足——这是最需要改进的一点。第二，实机测试仅在室内无风环境完成，室外风扰条件下的表现尚未验证。第三，多机协同场景完全未涉及。</w:t>
      </w:r>
    </w:p>
    <w:p>
      <w:pPr>
        <w:spacing w:before="0" w:after="120" w:lineRule="auto" w:line="360"/>
        <w:ind w:firstLine="480"/>
      </w:pPr>
      <w:r>
        <w:rPr>
          <w:rFonts w:ascii="宋体" w:hAnsi="宋体" w:eastAsia="宋体"/>
          <w:b w:val="0"/>
          <w:color w:val="111827"/>
          <w:sz w:val="24"/>
        </w:rPr>
        <w:t>后续工作的优先级按这个顺序排：先在预测环节引入交互式多模型（IMM）滤波，把匀速假设换成多假设并行；再做室外低速测试，逐步放开风扰条件；最后才考虑多机扩展。这个顺序的依据是「风险从高到低」，而不是「难度从低到高」。</w:t>
      </w:r>
    </w:p>
    <w:p>
      <w:pPr>
        <w:spacing w:before="0" w:after="120" w:lineRule="auto" w:line="360"/>
        <w:ind w:firstLine="480"/>
      </w:pPr>
      <w:r>
        <w:rPr>
          <w:rFonts w:ascii="宋体" w:hAnsi="宋体" w:eastAsia="宋体"/>
          <w:b w:val="0"/>
          <w:color w:val="111827"/>
          <w:sz w:val="24"/>
        </w:rPr>
        <w:t>总体指标容易被平均掉。把 200 组随机场景按「障碍出现方式」拆成四类之后，能看到提升究竟发生在哪里：室内走廊本来就接近满分，收益极小；真正拉开差距的是窄通道与动态障碍密集这两类（见图 6）。</w:t>
      </w:r>
    </w:p>
    <w:p>
      <w:pPr>
        <w:keepNext/>
        <w:keepLines/>
        <w:spacing w:before="160" w:after="60"/>
        <w:jc w:val="center"/>
      </w:pPr>
      <w:r>
        <w:drawing>
          <wp:inline xmlns:a="http://schemas.openxmlformats.org/drawingml/2006/main" xmlns:pic="http://schemas.openxmlformats.org/drawingml/2006/picture">
            <wp:extent cx="5214882" cy="2520000"/>
            <wp:docPr id="6" name="Picture 6"/>
            <wp:cNvGraphicFramePr>
              <a:graphicFrameLocks noChangeAspect="1"/>
            </wp:cNvGraphicFramePr>
            <a:graphic>
              <a:graphicData uri="http://schemas.openxmlformats.org/drawingml/2006/picture">
                <pic:pic>
                  <pic:nvPicPr>
                    <pic:cNvPr id="0" name="22_scenario_success.png"/>
                    <pic:cNvPicPr/>
                  </pic:nvPicPr>
                  <pic:blipFill>
                    <a:blip r:embed="rId15"/>
                    <a:stretch>
                      <a:fillRect/>
                    </a:stretch>
                  </pic:blipFill>
                  <pic:spPr>
                    <a:xfrm>
                      <a:off x="0" y="0"/>
                      <a:ext cx="5214882" cy="2520000"/>
                    </a:xfrm>
                    <a:prstGeom prst="rect"/>
                  </pic:spPr>
                </pic:pic>
              </a:graphicData>
            </a:graphic>
          </wp:inline>
        </w:drawing>
      </w:r>
    </w:p>
    <w:p>
      <w:pPr>
        <w:keepLines/>
        <w:spacing w:before="0" w:after="200"/>
        <w:jc w:val="center"/>
      </w:pPr>
      <w:r>
        <w:rPr>
          <w:rFonts w:ascii="宋体" w:hAnsi="宋体" w:eastAsia="宋体"/>
          <w:b w:val="0"/>
          <w:color w:val="6B7280"/>
          <w:sz w:val="21"/>
        </w:rPr>
        <w:t>图 6　四类典型场景的避障成功率对比</w:t>
      </w:r>
    </w:p>
    <w:p>
      <w:pPr>
        <w:spacing w:before="0" w:after="120" w:lineRule="auto" w:line="360"/>
        <w:ind w:firstLine="480"/>
      </w:pPr>
      <w:r>
        <w:rPr>
          <w:rFonts w:ascii="宋体" w:hAnsi="宋体" w:eastAsia="宋体"/>
          <w:b w:val="0"/>
          <w:color w:val="111827"/>
          <w:sz w:val="24"/>
        </w:rPr>
        <w:t>这个拆分也解释了一个容易被追问的问题：为什么室外有风的场景提升幅度小于窄通道？因为风扰主要影响控制层，而本作品的改进集中在规划层，控制层的补偿只做了延迟建模，没有做风场估计。这是明确的局限，不打算在报告里含糊过去。</w:t>
      </w:r>
    </w:p>
    <w:p>
      <w:pPr>
        <w:spacing w:before="0" w:after="120" w:lineRule="auto" w:line="360"/>
        <w:ind w:firstLine="480"/>
      </w:pPr>
      <w:r>
        <w:rPr>
          <w:rFonts w:ascii="宋体" w:hAnsi="宋体" w:eastAsia="宋体"/>
          <w:b w:val="0"/>
          <w:color w:val="111827"/>
          <w:sz w:val="24"/>
        </w:rPr>
        <w:t>为了确认三项改进各自的贡献，我们做了逐项剥离的消融实验。结论有点反直觉：曲率约束几乎不影响成功率，但对能耗影响明显——这也说明为什么只报成功率的论文会低估它（见图 7）。</w:t>
      </w:r>
    </w:p>
    <w:p>
      <w:pPr>
        <w:keepNext/>
        <w:keepLines/>
        <w:spacing w:before="160" w:after="60"/>
        <w:jc w:val="center"/>
      </w:pPr>
      <w:r>
        <w:drawing>
          <wp:inline xmlns:a="http://schemas.openxmlformats.org/drawingml/2006/main" xmlns:pic="http://schemas.openxmlformats.org/drawingml/2006/picture">
            <wp:extent cx="4979352" cy="2520000"/>
            <wp:docPr id="7" name="Picture 7"/>
            <wp:cNvGraphicFramePr>
              <a:graphicFrameLocks noChangeAspect="1"/>
            </wp:cNvGraphicFramePr>
            <a:graphic>
              <a:graphicData uri="http://schemas.openxmlformats.org/drawingml/2006/picture">
                <pic:pic>
                  <pic:nvPicPr>
                    <pic:cNvPr id="0" name="25_ablation.png"/>
                    <pic:cNvPicPr/>
                  </pic:nvPicPr>
                  <pic:blipFill>
                    <a:blip r:embed="rId16"/>
                    <a:stretch>
                      <a:fillRect/>
                    </a:stretch>
                  </pic:blipFill>
                  <pic:spPr>
                    <a:xfrm>
                      <a:off x="0" y="0"/>
                      <a:ext cx="4979352" cy="2520000"/>
                    </a:xfrm>
                    <a:prstGeom prst="rect"/>
                  </pic:spPr>
                </pic:pic>
              </a:graphicData>
            </a:graphic>
          </wp:inline>
        </w:drawing>
      </w:r>
    </w:p>
    <w:p>
      <w:pPr>
        <w:keepLines/>
        <w:spacing w:before="0" w:after="200"/>
        <w:jc w:val="center"/>
      </w:pPr>
      <w:r>
        <w:rPr>
          <w:rFonts w:ascii="宋体" w:hAnsi="宋体" w:eastAsia="宋体"/>
          <w:b w:val="0"/>
          <w:color w:val="6B7280"/>
          <w:sz w:val="21"/>
        </w:rPr>
        <w:t>图 7　逐项剥离消融实验：各模块对成功率的贡献</w:t>
      </w:r>
    </w:p>
    <w:p>
      <w:pPr>
        <w:keepNext/>
        <w:keepLines/>
        <w:spacing w:before="280" w:after="140" w:line="360" w:lineRule="auto"/>
        <w:outlineLvl w:val="0"/>
      </w:pPr>
      <w:r>
        <w:rPr>
          <w:rFonts w:ascii="黑体" w:hAnsi="黑体" w:eastAsia="黑体"/>
          <w:b/>
          <w:color w:val="111827"/>
          <w:sz w:val="30"/>
        </w:rPr>
        <w:t>五、应用前景</w:t>
      </w:r>
    </w:p>
    <w:p>
      <w:pPr>
        <w:spacing w:before="0" w:after="120" w:lineRule="auto" w:line="360"/>
        <w:ind w:firstLine="480"/>
      </w:pPr>
      <w:r>
        <w:rPr>
          <w:rFonts w:ascii="宋体" w:hAnsi="宋体" w:eastAsia="宋体"/>
          <w:b w:val="0"/>
          <w:color w:val="111827"/>
          <w:sz w:val="24"/>
        </w:rPr>
        <w:t>作品可直接移植到物流无人机、电力巡检与灾害搜救平台。算法模块以独立 ROS 2 节点形式实现，接口与主流飞控兼容，移植成本低。目前已与本地一家巡检服务企业达成试用意向。</w:t>
      </w:r>
    </w:p>
    <w:p>
      <w:pPr>
        <w:spacing w:before="0" w:after="120" w:lineRule="auto" w:line="360"/>
        <w:ind w:firstLine="480"/>
      </w:pPr>
      <w:r>
        <w:rPr>
          <w:rFonts w:ascii="宋体" w:hAnsi="宋体" w:eastAsia="宋体"/>
          <w:b w:val="0"/>
          <w:color w:val="111827"/>
          <w:sz w:val="24"/>
        </w:rPr>
        <w:t>作品的可迁移性来自其模块化设计。规划核心以独立 ROS 2 节点实现，对外只暴露「障碍物列表 + 自身状态」的输入接口与「航点序列」的输出接口，与主流飞控（PX4 / ArduPilot）均可对接，移植时不需要改动飞控固件。</w:t>
      </w:r>
    </w:p>
    <w:p>
      <w:pPr>
        <w:spacing w:before="0" w:after="120" w:lineRule="auto" w:line="360"/>
        <w:ind w:firstLine="480"/>
      </w:pPr>
      <w:r>
        <w:rPr>
          <w:rFonts w:ascii="宋体" w:hAnsi="宋体" w:eastAsia="宋体"/>
          <w:b w:val="0"/>
          <w:color w:val="111827"/>
          <w:sz w:val="24"/>
        </w:rPr>
        <w:t>潜在应用场景包括：城市低空物流的末端配送、电力巡检中的线路避让、灾害现场的搜索路径生成。其中电力巡检的适配成本最低——该场景的障碍物（树木、塔架）以静态为主，动态部分主要是鸟类与临时施工机械，对实时性的要求低于配送场景，算法有充足余量。</w:t>
      </w:r>
    </w:p>
    <w:p>
      <w:pPr>
        <w:keepNext/>
        <w:keepLines/>
        <w:spacing w:before="200" w:after="100" w:line="360" w:lineRule="auto"/>
        <w:outlineLvl w:val="1"/>
      </w:pPr>
      <w:r>
        <w:rPr>
          <w:rFonts w:ascii="黑体" w:hAnsi="黑体" w:eastAsia="黑体"/>
          <w:b/>
          <w:color w:val="111827"/>
          <w:sz w:val="25"/>
        </w:rPr>
        <w:t>5.1 产业化路径</w:t>
      </w:r>
    </w:p>
    <w:p>
      <w:pPr>
        <w:spacing w:before="0" w:after="120" w:lineRule="auto" w:line="360"/>
        <w:ind w:firstLine="480"/>
      </w:pPr>
      <w:r>
        <w:rPr>
          <w:rFonts w:ascii="宋体" w:hAnsi="宋体" w:eastAsia="宋体"/>
          <w:b w:val="0"/>
          <w:color w:val="111827"/>
          <w:sz w:val="24"/>
        </w:rPr>
        <w:t>从技术到产品的距离，主要不在算法本身，而在三件事：适航认证、与现有飞控的接口适配、以及失效时的安全策略。前两项是工程投入，第三项是设计问题。</w:t>
      </w:r>
    </w:p>
    <w:p>
      <w:pPr>
        <w:spacing w:before="0" w:after="120" w:lineRule="auto" w:line="360"/>
        <w:ind w:firstLine="480"/>
      </w:pPr>
      <w:r>
        <w:rPr>
          <w:rFonts w:ascii="宋体" w:hAnsi="宋体" w:eastAsia="宋体"/>
          <w:b w:val="0"/>
          <w:color w:val="111827"/>
          <w:sz w:val="24"/>
        </w:rPr>
        <w:t>我们的做法是把规划器设计成「可拒绝输出」的组件：当它判断当前状态无法在安全约束下规划出可行路径时，不返回次优解，而是返回明确的失败信号，由上层触发悬停或返航。这个设计在学术上不优雅——论文里总是假设总能规划出路径——但工程上必须有。</w:t>
      </w:r>
    </w:p>
    <w:p>
      <w:pPr>
        <w:spacing w:before="0" w:after="120" w:lineRule="auto" w:line="360"/>
        <w:ind w:firstLine="480"/>
      </w:pPr>
      <w:r>
        <w:rPr>
          <w:rFonts w:ascii="宋体" w:hAnsi="宋体" w:eastAsia="宋体"/>
          <w:b w:val="0"/>
          <w:color w:val="111827"/>
          <w:sz w:val="24"/>
        </w:rPr>
        <w:t>目前已与本地一家电力巡检服务企业达成试用意向，计划在其 3 条输电线路上做为期一个月的实测。电力巡检场景的障碍以静态树木为主，对实时性要求低于配送，是较理想的第一个落地场景。</w:t>
      </w:r>
    </w:p>
    <w:p>
      <w:pPr>
        <w:keepNext/>
        <w:keepLines/>
        <w:spacing w:before="280" w:after="140" w:line="360" w:lineRule="auto"/>
        <w:outlineLvl w:val="0"/>
      </w:pPr>
      <w:r>
        <w:rPr>
          <w:rFonts w:ascii="黑体" w:hAnsi="黑体" w:eastAsia="黑体"/>
          <w:b/>
          <w:color w:val="111827"/>
          <w:sz w:val="30"/>
        </w:rPr>
        <w:t>六、结论</w:t>
      </w:r>
    </w:p>
    <w:p>
      <w:pPr>
        <w:spacing w:before="0" w:after="120" w:lineRule="auto" w:line="360"/>
        <w:ind w:firstLine="480"/>
      </w:pPr>
      <w:r>
        <w:rPr>
          <w:rFonts w:ascii="宋体" w:hAnsi="宋体" w:eastAsia="宋体"/>
          <w:b w:val="0"/>
          <w:color w:val="111827"/>
          <w:sz w:val="24"/>
        </w:rPr>
        <w:t>本作品的核心贡献不在于提出了某个全新的算法，而在于重新表述了问题：动态环境下的路径规划，关键不是「算得更快」，而是「尽量不重算」。沿着这个判断，我们把三条互不相通的技术路线在结构上做了融合——用 A* 保全局性、用滚动时域保实时性、用曲率约束保可跟随性，三者通过统一的代价函数耦合，而不是简单的串并联。</w:t>
      </w:r>
    </w:p>
    <w:p>
      <w:pPr>
        <w:spacing w:before="0" w:after="120" w:lineRule="auto" w:line="360"/>
        <w:ind w:firstLine="480"/>
      </w:pPr>
      <w:r>
        <w:rPr>
          <w:rFonts w:ascii="宋体" w:hAnsi="宋体" w:eastAsia="宋体"/>
          <w:b w:val="0"/>
          <w:color w:val="111827"/>
          <w:sz w:val="24"/>
        </w:rPr>
        <w:t>实验结果表明这一思路是有效的：在 200 组随机动态场景中，避障成功率由 72.5% 提升至 94.3%，路径长度降低 17.3%，规划耗时降低 60.0%。消融实验进一步确认了三项改进各自的作用点不同，存在互补而非替代关系。</w:t>
      </w:r>
    </w:p>
    <w:p>
      <w:pPr>
        <w:spacing w:before="0" w:after="120" w:lineRule="auto" w:line="360"/>
        <w:ind w:firstLine="480"/>
      </w:pPr>
      <w:r>
        <w:rPr>
          <w:rFonts w:ascii="宋体" w:hAnsi="宋体" w:eastAsia="宋体"/>
          <w:b w:val="0"/>
          <w:color w:val="111827"/>
          <w:sz w:val="24"/>
        </w:rPr>
        <w:t>作品的不足也很明确：目前的动态障碍预测依赖匀速假设，对突然变向的目标（如奔跑的儿童）响应不足；实机测试仅在室内环境完成，室外风扰条件下的表现尚未验证。这两点将作为后续工作的方向。</w:t>
      </w:r>
    </w:p>
    <w:p>
      <w:pPr>
        <w:keepNext/>
        <w:keepLines/>
        <w:spacing w:before="280" w:after="140" w:line="360" w:lineRule="auto"/>
        <w:outlineLvl w:val="0"/>
      </w:pPr>
      <w:r>
        <w:rPr>
          <w:rFonts w:ascii="黑体" w:hAnsi="黑体" w:eastAsia="黑体"/>
          <w:b/>
          <w:color w:val="111827"/>
          <w:sz w:val="30"/>
        </w:rPr>
        <w:t>七、参考文献</w:t>
      </w:r>
    </w:p>
    <w:p>
      <w:pPr>
        <w:spacing w:before="0" w:after="120" w:lineRule="auto" w:line="360"/>
      </w:pPr>
      <w:r>
        <w:rPr>
          <w:rFonts w:ascii="宋体" w:hAnsi="宋体" w:eastAsia="宋体"/>
          <w:b w:val="0"/>
          <w:color w:val="111827"/>
          <w:sz w:val="21"/>
        </w:rPr>
        <w:t xml:space="preserve">　[1] Hart P E, Nilsson N J, Raphael B. A Formal Basis for the Heuristic Determination of Minimum Cost Paths[J]. IEEE Transactions on Systems Science and Cybernetics, 1968, 4(2): 100-107.</w:t>
      </w:r>
    </w:p>
    <w:p>
      <w:pPr>
        <w:spacing w:before="0" w:after="120" w:lineRule="auto" w:line="360"/>
      </w:pPr>
      <w:r>
        <w:rPr>
          <w:rFonts w:ascii="宋体" w:hAnsi="宋体" w:eastAsia="宋体"/>
          <w:b w:val="0"/>
          <w:color w:val="111827"/>
          <w:sz w:val="21"/>
        </w:rPr>
        <w:t xml:space="preserve">　[2] Koenig S, Likhachev M. D* Lite[C]. Proceedings of the AAAI Conference on Artificial Intelligence, 2002: 476-483.</w:t>
      </w:r>
    </w:p>
    <w:p>
      <w:pPr>
        <w:spacing w:before="0" w:after="120" w:lineRule="auto" w:line="360"/>
      </w:pPr>
      <w:r>
        <w:rPr>
          <w:rFonts w:ascii="宋体" w:hAnsi="宋体" w:eastAsia="宋体"/>
          <w:b w:val="0"/>
          <w:color w:val="111827"/>
          <w:sz w:val="21"/>
        </w:rPr>
        <w:t xml:space="preserve">　[3] Fox D, Burgard W, Thrun S. The Dynamic Window Approach to Collision Avoidance[J]. IEEE Robotics &amp; Automation Magazine, 1997, 4(1): 23-33.</w:t>
      </w:r>
    </w:p>
    <w:p>
      <w:pPr>
        <w:spacing w:before="0" w:after="120" w:lineRule="auto" w:line="360"/>
      </w:pPr>
      <w:r>
        <w:rPr>
          <w:rFonts w:ascii="宋体" w:hAnsi="宋体" w:eastAsia="宋体"/>
          <w:b w:val="0"/>
          <w:color w:val="111827"/>
          <w:sz w:val="21"/>
        </w:rPr>
        <w:t xml:space="preserve">　[4] Coutinho W P, Battarra M, Fliege J. The unmanned aerial vehicle routing and trajectory optimisation problem, a taxonomic review[J]. Computers &amp; Industrial Engineering, 2018, 120: 116-128.</w:t>
      </w:r>
    </w:p>
    <w:p>
      <w:pPr>
        <w:spacing w:before="0" w:after="120" w:lineRule="auto" w:line="360"/>
      </w:pPr>
      <w:r>
        <w:rPr>
          <w:rFonts w:ascii="宋体" w:hAnsi="宋体" w:eastAsia="宋体"/>
          <w:b w:val="0"/>
          <w:color w:val="111827"/>
          <w:sz w:val="21"/>
        </w:rPr>
        <w:t xml:space="preserve">　[5] Zhou X, Wang X, Efe M Ö, et al. EGO-Planner: An ESDF-Free Gradient-Based Local Planner for Quadrotors[J]. IEEE Robotics and Automation Letters, 2021, 6(2): 478-485.</w:t>
      </w:r>
    </w:p>
    <w:p>
      <w:pPr>
        <w:spacing w:before="0" w:after="120" w:lineRule="auto" w:line="360"/>
      </w:pPr>
      <w:r>
        <w:rPr>
          <w:rFonts w:ascii="宋体" w:hAnsi="宋体" w:eastAsia="宋体"/>
          <w:b w:val="0"/>
          <w:color w:val="111827"/>
          <w:sz w:val="21"/>
        </w:rPr>
        <w:t xml:space="preserve">　[6] LaValle S M. Planning Algorithms[M]. Cambridge: Cambridge University Press, 2006.</w:t>
      </w:r>
    </w:p>
    <w:p>
      <w:pPr>
        <w:spacing w:before="0" w:after="120" w:lineRule="auto" w:line="360"/>
      </w:pPr>
      <w:r>
        <w:rPr>
          <w:rFonts w:ascii="宋体" w:hAnsi="宋体" w:eastAsia="宋体"/>
          <w:b w:val="0"/>
          <w:color w:val="111827"/>
          <w:sz w:val="21"/>
        </w:rPr>
        <w:t xml:space="preserve">　[7] Karaman S, Frazzoli E. Sampling-Based Algorithms for Optimal Motion Planning[J]. The International Journal of Robotics Research, 2011, 30(7): 846-894.</w:t>
      </w:r>
    </w:p>
    <w:p>
      <w:pPr>
        <w:spacing w:before="0" w:after="120" w:lineRule="auto" w:line="360"/>
      </w:pPr>
      <w:r>
        <w:rPr>
          <w:rFonts w:ascii="宋体" w:hAnsi="宋体" w:eastAsia="宋体"/>
          <w:b w:val="0"/>
          <w:color w:val="111827"/>
          <w:sz w:val="21"/>
        </w:rPr>
        <w:t xml:space="preserve">　[8] Zhou B, Gao F, Wang L, et al. Robust and Efficient Quadrotor Trajectory Generation for Fast Autonomous Flight[J]. IEEE Robotics and Automation Letters, 2019, 4(4): 3529-3536.</w:t>
      </w:r>
    </w:p>
    <w:p>
      <w:pPr>
        <w:keepNext/>
        <w:keepLines/>
        <w:spacing w:before="280" w:after="140" w:line="360" w:lineRule="auto"/>
        <w:outlineLvl w:val="0"/>
      </w:pPr>
      <w:r>
        <w:rPr>
          <w:rFonts w:ascii="黑体" w:hAnsi="黑体" w:eastAsia="黑体"/>
          <w:b/>
          <w:color w:val="111827"/>
          <w:sz w:val="30"/>
        </w:rPr>
        <w:t>八、审核意见</w:t>
      </w:r>
    </w:p>
    <w:tbl>
      <w:tblPr>
        <w:tblStyle w:val="TableGrid"/>
        <w:tblW w:type="auto" w:w="0"/>
        <w:jc w:val="center"/>
        <w:tblLayout w:type="fixed"/>
        <w:tblLook w:firstColumn="1" w:firstRow="1" w:lastColumn="0" w:lastRow="0" w:noHBand="0" w:noVBand="1" w:val="04A0"/>
        <w:tblLayout w:type="fixed"/>
      </w:tblPr>
      <w:tblGrid>
        <w:gridCol w:w="8731"/>
      </w:tblGrid>
      <w:tr>
        <w:trPr>
          <w:cantSplit/>
        </w:trPr>
        <w:tc>
          <w:tcPr>
            <w:tcW w:type="dxa" w:w="8731"/>
          </w:tcPr>
          <w:p>
            <w:pPr>
              <w:spacing w:before="40" w:after="40"/>
              <w:keepNext/>
              <w:keepLines/>
              <w:pBdr>
                <w:bottom w:val="single" w:sz="6" w:space="1" w:color="7A7A7A"/>
              </w:pBdr>
            </w:pPr>
            <w:r>
              <w:rPr>
                <w:rFonts w:ascii="黑体" w:hAnsi="黑体" w:eastAsia="黑体"/>
                <w:b/>
                <w:color w:val="111827"/>
                <w:sz w:val="21"/>
              </w:rPr>
              <w:t>指导教师推荐意见</w:t>
            </w:r>
          </w:p>
          <w:p>
            <w:pPr>
              <w:keepNext/>
              <w:keepLines/>
              <w:spacing w:before="0" w:after="0" w:line="2268" w:lineRule="exact"/>
            </w:pPr>
          </w:p>
          <w:p>
            <w:pPr>
              <w:spacing w:before="80" w:after="80"/>
              <w:jc w:val="right"/>
              <w:keepNext/>
              <w:keepLines/>
              <w:pBdr>
                <w:top w:val="single" w:sz="6" w:space="1" w:color="7A7A7A"/>
              </w:pBdr>
            </w:pPr>
            <w:r>
              <w:rPr>
                <w:rFonts w:ascii="宋体" w:hAnsi="宋体" w:eastAsia="宋体"/>
                <w:b w:val="0"/>
                <w:color w:val="6B7280"/>
                <w:sz w:val="21"/>
              </w:rPr>
              <w:t>签字：＿＿＿＿＿＿＿＿　　　日期：　　年　　月　　日</w:t>
            </w:r>
          </w:p>
        </w:tc>
      </w:tr>
      <w:tr>
        <w:trPr>
          <w:cantSplit/>
        </w:trPr>
        <w:tc>
          <w:tcPr>
            <w:tcW w:type="dxa" w:w="8731"/>
          </w:tcPr>
          <w:p>
            <w:pPr>
              <w:spacing w:before="40" w:after="40"/>
              <w:keepNext/>
              <w:keepLines/>
              <w:pBdr>
                <w:bottom w:val="single" w:sz="6" w:space="1" w:color="7A7A7A"/>
              </w:pBdr>
            </w:pPr>
            <w:r>
              <w:rPr>
                <w:rFonts w:ascii="黑体" w:hAnsi="黑体" w:eastAsia="黑体"/>
                <w:b/>
                <w:color w:val="111827"/>
                <w:sz w:val="21"/>
              </w:rPr>
              <w:t>学院推荐意见</w:t>
            </w:r>
          </w:p>
          <w:p>
            <w:pPr>
              <w:keepNext/>
              <w:keepLines/>
              <w:spacing w:before="0" w:after="0" w:line="2268" w:lineRule="exact"/>
            </w:pPr>
          </w:p>
          <w:p>
            <w:pPr>
              <w:spacing w:before="80" w:after="80"/>
              <w:jc w:val="right"/>
              <w:keepNext/>
              <w:keepLines/>
              <w:pBdr>
                <w:top w:val="single" w:sz="6" w:space="1" w:color="7A7A7A"/>
              </w:pBdr>
            </w:pPr>
            <w:r>
              <w:rPr>
                <w:rFonts w:ascii="宋体" w:hAnsi="宋体" w:eastAsia="宋体"/>
                <w:b w:val="0"/>
                <w:color w:val="6B7280"/>
                <w:sz w:val="21"/>
              </w:rPr>
              <w:t>签字：＿＿＿＿＿＿＿＿　　　日期：　　年　　月　　日</w:t>
            </w:r>
          </w:p>
        </w:tc>
      </w:tr>
      <w:tr>
        <w:trPr>
          <w:cantSplit/>
        </w:trPr>
        <w:tc>
          <w:tcPr>
            <w:tcW w:type="dxa" w:w="8731"/>
          </w:tcPr>
          <w:p>
            <w:pPr>
              <w:spacing w:before="40" w:after="40"/>
              <w:pBdr>
                <w:bottom w:val="single" w:sz="6" w:space="1" w:color="7A7A7A"/>
              </w:pBdr>
            </w:pPr>
            <w:r>
              <w:rPr>
                <w:rFonts w:ascii="黑体" w:hAnsi="黑体" w:eastAsia="黑体"/>
                <w:b/>
                <w:color w:val="111827"/>
                <w:sz w:val="21"/>
              </w:rPr>
              <w:t>学校审核意见</w:t>
            </w:r>
          </w:p>
          <w:p>
            <w:pPr>
              <w:spacing w:before="0" w:after="0" w:line="2268" w:lineRule="exact"/>
            </w:pPr>
          </w:p>
          <w:p>
            <w:pPr>
              <w:spacing w:before="80" w:after="80"/>
              <w:jc w:val="right"/>
              <w:pBdr>
                <w:top w:val="single" w:sz="6" w:space="1" w:color="7A7A7A"/>
              </w:pBdr>
            </w:pPr>
            <w:r>
              <w:rPr>
                <w:rFonts w:ascii="宋体" w:hAnsi="宋体" w:eastAsia="宋体"/>
                <w:b w:val="0"/>
                <w:color w:val="6B7280"/>
                <w:sz w:val="21"/>
              </w:rPr>
              <w:t>签字：＿＿＿＿＿＿＿＿　　　日期：　　年　　月　　日</w:t>
            </w:r>
          </w:p>
        </w:tc>
      </w:tr>
    </w:tbl>
    <w:p>
      <w:pPr>
        <w:spacing w:before="0" w:after="0" w:line="240" w:lineRule="exact"/>
      </w:pPr>
      <w:r>
        <w:rPr>
          <w:rFonts w:ascii="宋体" w:hAnsi="宋体" w:eastAsia="宋体"/>
          <w:b w:val="0"/>
          <w:color w:val="111827"/>
          <w:sz w:val="16"/>
        </w:rPr>
      </w:r>
    </w:p>
    <w:sectPr w:rsidR="00FC693F" w:rsidRPr="0006063C" w:rsidSect="00034616">
      <w:footerReference w:type="default" r:id="rId9"/>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宋体" w:hAnsi="宋体" w:eastAsia="宋体"/>
        <w:b w:val="0"/>
        <w:color w:val="6B7280"/>
        <w:sz w:val="18"/>
      </w:rPr>
      <w:t xml:space="preserve">第 </w:t>
    </w:r>
    <w:r>
      <w:rPr>
        <w:rFonts w:ascii="宋体" w:hAnsi="宋体" w:eastAsia="宋体"/>
        <w:b w:val="0"/>
        <w:color w:val="6B7280"/>
        <w:sz w:val="18"/>
      </w:rPr>
      <w:fldChar w:fldCharType="begin"/>
    </w:r>
    <w:r>
      <w:rPr>
        <w:rFonts w:ascii="宋体" w:hAnsi="宋体" w:eastAsia="宋体"/>
        <w:b w:val="0"/>
        <w:color w:val="6B7280"/>
        <w:sz w:val="18"/>
      </w:rPr>
      <w:instrText xml:space="preserve"> PAGE </w:instrText>
    </w:r>
    <w:r>
      <w:rPr>
        <w:rFonts w:ascii="宋体" w:hAnsi="宋体" w:eastAsia="宋体"/>
        <w:b w:val="0"/>
        <w:color w:val="6B7280"/>
        <w:sz w:val="18"/>
      </w:rPr>
      <w:fldChar w:fldCharType="separate"/>
    </w:r>
    <w:r>
      <w:rPr>
        <w:rFonts w:ascii="宋体" w:hAnsi="宋体" w:eastAsia="宋体"/>
        <w:b w:val="0"/>
        <w:color w:val="6B7280"/>
        <w:sz w:val="18"/>
      </w:rPr>
      <w:t>1</w:t>
    </w:r>
    <w:r>
      <w:rPr>
        <w:rFonts w:ascii="宋体" w:hAnsi="宋体" w:eastAsia="宋体"/>
        <w:b w:val="0"/>
        <w:color w:val="6B7280"/>
        <w:sz w:val="18"/>
      </w:rPr>
      <w:fldChar w:fldCharType="end"/>
    </w:r>
    <w:r>
      <w:rPr>
        <w:rFonts w:ascii="宋体" w:hAnsi="宋体" w:eastAsia="宋体"/>
        <w:b w:val="0"/>
        <w:color w:val="6B7280"/>
        <w:sz w:val="18"/>
      </w:rPr>
      <w:t xml:space="preserve"> 页　共 </w:t>
    </w:r>
    <w:r>
      <w:rPr>
        <w:rFonts w:ascii="宋体" w:hAnsi="宋体" w:eastAsia="宋体"/>
        <w:b w:val="0"/>
        <w:color w:val="6B7280"/>
        <w:sz w:val="18"/>
      </w:rPr>
      <w:fldChar w:fldCharType="begin"/>
    </w:r>
    <w:r>
      <w:rPr>
        <w:rFonts w:ascii="宋体" w:hAnsi="宋体" w:eastAsia="宋体"/>
        <w:b w:val="0"/>
        <w:color w:val="6B7280"/>
        <w:sz w:val="18"/>
      </w:rPr>
      <w:instrText xml:space="preserve"> NUMPAGES </w:instrText>
    </w:r>
    <w:r>
      <w:rPr>
        <w:rFonts w:ascii="宋体" w:hAnsi="宋体" w:eastAsia="宋体"/>
        <w:b w:val="0"/>
        <w:color w:val="6B7280"/>
        <w:sz w:val="18"/>
      </w:rPr>
      <w:fldChar w:fldCharType="separate"/>
    </w:r>
    <w:r>
      <w:rPr>
        <w:rFonts w:ascii="宋体" w:hAnsi="宋体" w:eastAsia="宋体"/>
        <w:b w:val="0"/>
        <w:color w:val="6B7280"/>
        <w:sz w:val="18"/>
      </w:rPr>
      <w:t>1</w:t>
    </w:r>
    <w:r>
      <w:rPr>
        <w:rFonts w:ascii="宋体" w:hAnsi="宋体" w:eastAsia="宋体"/>
        <w:b w:val="0"/>
        <w:color w:val="6B7280"/>
        <w:sz w:val="18"/>
      </w:rPr>
      <w:fldChar w:fldCharType="end"/>
    </w:r>
    <w:r>
      <w:rPr>
        <w:rFonts w:ascii="宋体" w:hAnsi="宋体" w:eastAsia="宋体"/>
        <w:b w:val="0"/>
        <w:color w:val="6B72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面向动态障碍环境的无人机自主路径规划方法研究</dc:title>
  <dc:subject>作品申报书</dc:subject>
  <dc:creator>示例文档</dc:creator>
  <cp:keywords>学生申报书; 示例; 排版规范</cp:keywords>
  <dc:description>虚构示例，仅用于展示申报书排版与图表规范</dc:description>
  <cp:lastModifiedBy>示例文档</cp:lastModifiedBy>
  <cp:revision>1</cp:revision>
  <dcterms:created xsi:type="dcterms:W3CDTF">2013-12-23T23:15:00Z</dcterms:created>
  <dcterms:modified xsi:type="dcterms:W3CDTF">2013-12-23T23:15:00Z</dcterms:modified>
  <cp:category/>
</cp:coreProperties>
</file>