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spacing w:before="0" w:after="0" w:lineRule="exact" w:line="3969"/>
      </w:pPr>
      <w:r/>
    </w:p>
    <w:p>
      <w:pPr>
        <w:spacing w:after="200"/>
        <w:jc w:val="center"/>
      </w:pPr>
      <w:r>
        <w:rPr>
          <w:rFonts w:ascii="黑体" w:hAnsi="黑体" w:eastAsia="黑体"/>
          <w:b/>
          <w:color w:val="111827"/>
          <w:sz w:val="44"/>
        </w:rPr>
        <w:t>大学生创新创业训练计划</w:t>
      </w:r>
    </w:p>
    <w:p>
      <w:pPr>
        <w:spacing w:after="680"/>
        <w:jc w:val="center"/>
      </w:pPr>
      <w:r>
        <w:rPr>
          <w:rFonts w:ascii="黑体" w:hAnsi="黑体" w:eastAsia="黑体"/>
          <w:b/>
          <w:color w:val="111827"/>
          <w:sz w:val="52"/>
        </w:rPr>
        <w:t>创业训练项目申报书</w:t>
      </w:r>
    </w:p>
    <w:p>
      <w:pPr>
        <w:spacing w:after="160"/>
        <w:jc w:val="center"/>
      </w:pPr>
      <w:r>
        <w:rPr>
          <w:rFonts w:ascii="黑体" w:hAnsi="黑体" w:eastAsia="黑体"/>
          <w:b/>
          <w:color w:val="111827"/>
          <w:sz w:val="32"/>
        </w:rPr>
        <w:t>智农巡田——多光谱无人机作物长势监测服务</w:t>
      </w:r>
    </w:p>
    <w:p>
      <w:pPr>
        <w:spacing w:after="1120"/>
        <w:jc w:val="center"/>
      </w:pPr>
      <w:r>
        <w:rPr>
          <w:rFonts w:ascii="宋体" w:hAnsi="宋体" w:eastAsia="宋体"/>
          <w:b w:val="0"/>
          <w:color w:val="6B7280"/>
          <w:sz w:val="24"/>
        </w:rPr>
        <w:t>—— 面向县域种植户的按亩计费农情服务模式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  <w:tblLayout w:type="fixed"/>
      </w:tblPr>
      <w:tblGrid>
        <w:gridCol w:w="2608"/>
        <w:gridCol w:w="6123"/>
      </w:tblGrid>
      <w:tr>
        <w:trPr>
          <w:cantSplit/>
        </w:trPr>
        <w:tc>
          <w:tcPr>
            <w:tcW w:type="dxa" w:w="2608"/>
          </w:tcPr>
          <w:p>
            <w:pPr>
              <w:spacing w:before="0" w:after="0"/>
              <w:jc w:val="right"/>
            </w:pPr>
            <w:r>
              <w:rPr>
                <w:rFonts w:ascii="宋体" w:hAnsi="宋体" w:eastAsia="宋体"/>
                <w:b w:val="0"/>
                <w:color w:val="111827"/>
                <w:sz w:val="24"/>
              </w:rPr>
              <w:t>项目类别：</w:t>
            </w:r>
          </w:p>
        </w:tc>
        <w:tc>
          <w:tcPr>
            <w:tcW w:type="dxa" w:w="6123"/>
          </w:tcPr>
          <w:p>
            <w:pPr>
              <w:spacing w:before="0" w:after="0"/>
              <w:jc w:val="left"/>
            </w:pPr>
            <w:r>
              <w:rPr>
                <w:rFonts w:ascii="宋体" w:hAnsi="宋体" w:eastAsia="宋体"/>
                <w:b w:val="0"/>
                <w:color w:val="111827"/>
                <w:sz w:val="24"/>
              </w:rPr>
              <w:t>创业训练项目</w:t>
            </w:r>
          </w:p>
        </w:tc>
      </w:tr>
      <w:tr>
        <w:trPr>
          <w:cantSplit/>
        </w:trPr>
        <w:tc>
          <w:tcPr>
            <w:tcW w:type="dxa" w:w="2608"/>
          </w:tcPr>
          <w:p>
            <w:pPr>
              <w:spacing w:before="0" w:after="0"/>
              <w:jc w:val="right"/>
            </w:pPr>
            <w:r>
              <w:rPr>
                <w:rFonts w:ascii="宋体" w:hAnsi="宋体" w:eastAsia="宋体"/>
                <w:b w:val="0"/>
                <w:color w:val="111827"/>
                <w:sz w:val="24"/>
              </w:rPr>
              <w:t>所属领域：</w:t>
            </w:r>
          </w:p>
        </w:tc>
        <w:tc>
          <w:tcPr>
            <w:tcW w:type="dxa" w:w="6123"/>
          </w:tcPr>
          <w:p>
            <w:pPr>
              <w:spacing w:before="0" w:after="0"/>
              <w:jc w:val="left"/>
            </w:pPr>
            <w:r>
              <w:rPr>
                <w:rFonts w:ascii="宋体" w:hAnsi="宋体" w:eastAsia="宋体"/>
                <w:b w:val="0"/>
                <w:color w:val="111827"/>
                <w:sz w:val="24"/>
              </w:rPr>
              <w:t>智慧农业 / 农业社会化服务</w:t>
            </w:r>
          </w:p>
        </w:tc>
      </w:tr>
      <w:tr>
        <w:trPr>
          <w:cantSplit/>
        </w:trPr>
        <w:tc>
          <w:tcPr>
            <w:tcW w:type="dxa" w:w="2608"/>
          </w:tcPr>
          <w:p>
            <w:pPr>
              <w:spacing w:before="0" w:after="0"/>
              <w:jc w:val="right"/>
            </w:pPr>
            <w:r>
              <w:rPr>
                <w:rFonts w:ascii="宋体" w:hAnsi="宋体" w:eastAsia="宋体"/>
                <w:b w:val="0"/>
                <w:color w:val="111827"/>
                <w:sz w:val="24"/>
              </w:rPr>
              <w:t>项目负责人：</w:t>
            </w:r>
          </w:p>
        </w:tc>
        <w:tc>
          <w:tcPr>
            <w:tcW w:type="dxa" w:w="6123"/>
          </w:tcPr>
          <w:p>
            <w:pPr>
              <w:spacing w:before="0" w:after="0"/>
              <w:jc w:val="left"/>
            </w:pPr>
            <w:r>
              <w:rPr>
                <w:rFonts w:ascii="宋体" w:hAnsi="宋体" w:eastAsia="宋体"/>
                <w:b w:val="0"/>
                <w:color w:val="111827"/>
                <w:sz w:val="24"/>
              </w:rPr>
              <w:t>王　浩</w:t>
            </w:r>
          </w:p>
        </w:tc>
      </w:tr>
      <w:tr>
        <w:trPr>
          <w:cantSplit/>
        </w:trPr>
        <w:tc>
          <w:tcPr>
            <w:tcW w:type="dxa" w:w="2608"/>
          </w:tcPr>
          <w:p>
            <w:pPr>
              <w:spacing w:before="0" w:after="0"/>
              <w:jc w:val="right"/>
            </w:pPr>
            <w:r>
              <w:rPr>
                <w:rFonts w:ascii="宋体" w:hAnsi="宋体" w:eastAsia="宋体"/>
                <w:b w:val="0"/>
                <w:color w:val="111827"/>
                <w:sz w:val="24"/>
              </w:rPr>
              <w:t>指导教师：</w:t>
            </w:r>
          </w:p>
        </w:tc>
        <w:tc>
          <w:tcPr>
            <w:tcW w:type="dxa" w:w="6123"/>
          </w:tcPr>
          <w:p>
            <w:pPr>
              <w:spacing w:before="0" w:after="0"/>
              <w:jc w:val="left"/>
            </w:pPr>
            <w:r>
              <w:rPr>
                <w:rFonts w:ascii="宋体" w:hAnsi="宋体" w:eastAsia="宋体"/>
                <w:b w:val="0"/>
                <w:color w:val="111827"/>
                <w:sz w:val="24"/>
              </w:rPr>
              <w:t>陈立新　教授</w:t>
            </w:r>
          </w:p>
        </w:tc>
      </w:tr>
      <w:tr>
        <w:trPr>
          <w:cantSplit/>
        </w:trPr>
        <w:tc>
          <w:tcPr>
            <w:tcW w:type="dxa" w:w="2608"/>
          </w:tcPr>
          <w:p>
            <w:pPr>
              <w:spacing w:before="0" w:after="0"/>
              <w:jc w:val="right"/>
            </w:pPr>
            <w:r>
              <w:rPr>
                <w:rFonts w:ascii="宋体" w:hAnsi="宋体" w:eastAsia="宋体"/>
                <w:b w:val="0"/>
                <w:color w:val="111827"/>
                <w:sz w:val="24"/>
              </w:rPr>
              <w:t>申报单位：</w:t>
            </w:r>
          </w:p>
        </w:tc>
        <w:tc>
          <w:tcPr>
            <w:tcW w:type="dxa" w:w="6123"/>
          </w:tcPr>
          <w:p>
            <w:pPr>
              <w:spacing w:before="0" w:after="0"/>
              <w:jc w:val="left"/>
            </w:pPr>
            <w:r>
              <w:rPr>
                <w:rFonts w:ascii="宋体" w:hAnsi="宋体" w:eastAsia="宋体"/>
                <w:b w:val="0"/>
                <w:color w:val="111827"/>
                <w:sz w:val="24"/>
              </w:rPr>
              <w:t>经济管理学院</w:t>
            </w:r>
          </w:p>
        </w:tc>
      </w:tr>
      <w:tr>
        <w:trPr>
          <w:cantSplit/>
        </w:trPr>
        <w:tc>
          <w:tcPr>
            <w:tcW w:type="dxa" w:w="2608"/>
          </w:tcPr>
          <w:p>
            <w:pPr>
              <w:spacing w:before="0" w:after="0"/>
              <w:jc w:val="right"/>
            </w:pPr>
            <w:r>
              <w:rPr>
                <w:rFonts w:ascii="宋体" w:hAnsi="宋体" w:eastAsia="宋体"/>
                <w:b w:val="0"/>
                <w:color w:val="111827"/>
                <w:sz w:val="24"/>
              </w:rPr>
              <w:t>申请经费：</w:t>
            </w:r>
          </w:p>
        </w:tc>
        <w:tc>
          <w:tcPr>
            <w:tcW w:type="dxa" w:w="6123"/>
          </w:tcPr>
          <w:p>
            <w:pPr>
              <w:spacing w:before="0" w:after="0"/>
              <w:jc w:val="left"/>
            </w:pPr>
            <w:r>
              <w:rPr>
                <w:rFonts w:ascii="宋体" w:hAnsi="宋体" w:eastAsia="宋体"/>
                <w:b w:val="0"/>
                <w:color w:val="111827"/>
                <w:sz w:val="24"/>
              </w:rPr>
              <w:t>2.00 万元</w:t>
            </w:r>
          </w:p>
        </w:tc>
      </w:tr>
      <w:tr>
        <w:trPr>
          <w:cantSplit/>
        </w:trPr>
        <w:tc>
          <w:tcPr>
            <w:tcW w:type="dxa" w:w="2608"/>
          </w:tcPr>
          <w:p>
            <w:pPr>
              <w:spacing w:before="0" w:after="0"/>
              <w:jc w:val="right"/>
            </w:pPr>
            <w:r>
              <w:rPr>
                <w:rFonts w:ascii="宋体" w:hAnsi="宋体" w:eastAsia="宋体"/>
                <w:b w:val="0"/>
                <w:color w:val="111827"/>
                <w:sz w:val="24"/>
              </w:rPr>
              <w:t>起止时间：</w:t>
            </w:r>
          </w:p>
        </w:tc>
        <w:tc>
          <w:tcPr>
            <w:tcW w:type="dxa" w:w="6123"/>
          </w:tcPr>
          <w:p>
            <w:pPr>
              <w:spacing w:before="0" w:after="0"/>
              <w:jc w:val="left"/>
            </w:pPr>
            <w:r>
              <w:rPr>
                <w:rFonts w:ascii="宋体" w:hAnsi="宋体" w:eastAsia="宋体"/>
                <w:b w:val="0"/>
                <w:color w:val="111827"/>
                <w:sz w:val="24"/>
              </w:rPr>
              <w:t>2026 年 04 月 — 2027 年 03 月</w:t>
            </w:r>
          </w:p>
        </w:tc>
      </w:tr>
    </w:tbl>
    <w:p>
      <w:r>
        <w:br w:type="page"/>
      </w:r>
    </w:p>
    <w:p>
      <w:pPr>
        <w:keepNext/>
        <w:keepLines/>
        <w:spacing w:before="280" w:after="140" w:line="360" w:lineRule="auto"/>
        <w:outlineLvl w:val="0"/>
      </w:pPr>
      <w:r>
        <w:rPr>
          <w:rFonts w:ascii="黑体" w:hAnsi="黑体" w:eastAsia="黑体"/>
          <w:b/>
          <w:color w:val="111827"/>
          <w:sz w:val="30"/>
        </w:rPr>
        <w:t>一、项目概述</w:t>
      </w:r>
    </w:p>
    <w:p>
      <w:pPr>
        <w:spacing w:before="0" w:after="120" w:lineRule="auto" w:line="360"/>
        <w:ind w:firstLine="480"/>
      </w:pPr>
      <w:r>
        <w:rPr>
          <w:rFonts w:ascii="宋体" w:hAnsi="宋体" w:eastAsia="宋体"/>
          <w:b w:val="0"/>
          <w:color w:val="111827"/>
          <w:sz w:val="24"/>
        </w:rPr>
        <w:t>本项目以县域 50—500 亩规模种植户为目标客户，提供基于多光谱无人机的作物长势监测与病虫害预警服务，按亩次计费。相比传统人工巡田，单次作业覆盖效率提升约 12 倍，成本下降 60%，并可提前 5—7 天发现病虫害早期迹象。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  <w:tblLayout w:type="fixed"/>
      </w:tblPr>
      <w:tblGrid>
        <w:gridCol w:w="2608"/>
        <w:gridCol w:w="6123"/>
      </w:tblGrid>
      <w:tr>
        <w:trPr>
          <w:cantSplit/>
        </w:trPr>
        <w:tc>
          <w:tcPr>
            <w:tcW w:type="dxa" w:w="2608"/>
          </w:tcPr>
          <w:p>
            <w:pPr>
              <w:spacing w:before="0" w:after="0"/>
              <w:jc w:val="right"/>
            </w:pPr>
            <w:r>
              <w:rPr>
                <w:rFonts w:ascii="宋体" w:hAnsi="宋体" w:eastAsia="宋体"/>
                <w:b w:val="0"/>
                <w:color w:val="111827"/>
                <w:sz w:val="24"/>
              </w:rPr>
              <w:t>服务内容：</w:t>
            </w:r>
          </w:p>
        </w:tc>
        <w:tc>
          <w:tcPr>
            <w:tcW w:type="dxa" w:w="6123"/>
          </w:tcPr>
          <w:p>
            <w:pPr>
              <w:spacing w:before="0" w:after="0"/>
              <w:jc w:val="left"/>
            </w:pPr>
            <w:r>
              <w:rPr>
                <w:rFonts w:ascii="宋体" w:hAnsi="宋体" w:eastAsia="宋体"/>
                <w:b w:val="0"/>
                <w:color w:val="111827"/>
                <w:sz w:val="24"/>
              </w:rPr>
              <w:t>多光谱影像采集 + 长势分级 + 病虫害预警报告</w:t>
            </w:r>
          </w:p>
        </w:tc>
      </w:tr>
      <w:tr>
        <w:trPr>
          <w:cantSplit/>
        </w:trPr>
        <w:tc>
          <w:tcPr>
            <w:tcW w:type="dxa" w:w="2608"/>
          </w:tcPr>
          <w:p>
            <w:pPr>
              <w:spacing w:before="0" w:after="0"/>
              <w:jc w:val="right"/>
            </w:pPr>
            <w:r>
              <w:rPr>
                <w:rFonts w:ascii="宋体" w:hAnsi="宋体" w:eastAsia="宋体"/>
                <w:b w:val="0"/>
                <w:color w:val="111827"/>
                <w:sz w:val="24"/>
              </w:rPr>
              <w:t>计费方式：</w:t>
            </w:r>
          </w:p>
        </w:tc>
        <w:tc>
          <w:tcPr>
            <w:tcW w:type="dxa" w:w="6123"/>
          </w:tcPr>
          <w:p>
            <w:pPr>
              <w:spacing w:before="0" w:after="0"/>
              <w:jc w:val="left"/>
            </w:pPr>
            <w:r>
              <w:rPr>
                <w:rFonts w:ascii="宋体" w:hAnsi="宋体" w:eastAsia="宋体"/>
                <w:b w:val="0"/>
                <w:color w:val="111827"/>
                <w:sz w:val="24"/>
              </w:rPr>
              <w:t>8 元/亩·次，年订阅 4 次起</w:t>
            </w:r>
          </w:p>
        </w:tc>
      </w:tr>
      <w:tr>
        <w:trPr>
          <w:cantSplit/>
        </w:trPr>
        <w:tc>
          <w:tcPr>
            <w:tcW w:type="dxa" w:w="2608"/>
          </w:tcPr>
          <w:p>
            <w:pPr>
              <w:spacing w:before="0" w:after="0"/>
              <w:jc w:val="right"/>
            </w:pPr>
            <w:r>
              <w:rPr>
                <w:rFonts w:ascii="宋体" w:hAnsi="宋体" w:eastAsia="宋体"/>
                <w:b w:val="0"/>
                <w:color w:val="111827"/>
                <w:sz w:val="24"/>
              </w:rPr>
              <w:t>首年目标：</w:t>
            </w:r>
          </w:p>
        </w:tc>
        <w:tc>
          <w:tcPr>
            <w:tcW w:type="dxa" w:w="6123"/>
          </w:tcPr>
          <w:p>
            <w:pPr>
              <w:spacing w:before="0" w:after="0"/>
              <w:jc w:val="left"/>
            </w:pPr>
            <w:r>
              <w:rPr>
                <w:rFonts w:ascii="宋体" w:hAnsi="宋体" w:eastAsia="宋体"/>
                <w:b w:val="0"/>
                <w:color w:val="111827"/>
                <w:sz w:val="24"/>
              </w:rPr>
              <w:t>签约 12 家合作社，服务面积 1.8 万亩</w:t>
            </w:r>
          </w:p>
        </w:tc>
      </w:tr>
      <w:tr>
        <w:trPr>
          <w:cantSplit/>
        </w:trPr>
        <w:tc>
          <w:tcPr>
            <w:tcW w:type="dxa" w:w="2608"/>
          </w:tcPr>
          <w:p>
            <w:pPr>
              <w:spacing w:before="0" w:after="0"/>
              <w:jc w:val="right"/>
            </w:pPr>
            <w:r>
              <w:rPr>
                <w:rFonts w:ascii="宋体" w:hAnsi="宋体" w:eastAsia="宋体"/>
                <w:b w:val="0"/>
                <w:color w:val="111827"/>
                <w:sz w:val="24"/>
              </w:rPr>
              <w:t>盈亏平衡：</w:t>
            </w:r>
          </w:p>
        </w:tc>
        <w:tc>
          <w:tcPr>
            <w:tcW w:type="dxa" w:w="6123"/>
          </w:tcPr>
          <w:p>
            <w:pPr>
              <w:spacing w:before="0" w:after="0"/>
              <w:jc w:val="left"/>
            </w:pPr>
            <w:r>
              <w:rPr>
                <w:rFonts w:ascii="宋体" w:hAnsi="宋体" w:eastAsia="宋体"/>
                <w:b w:val="0"/>
                <w:color w:val="111827"/>
                <w:sz w:val="24"/>
              </w:rPr>
              <w:t>第 3 年上半年</w:t>
            </w:r>
          </w:p>
        </w:tc>
      </w:tr>
    </w:tbl>
    <w:p>
      <w:pPr>
        <w:spacing w:before="0" w:after="120" w:lineRule="auto" w:line="360"/>
        <w:ind w:firstLine="480"/>
      </w:pPr>
      <w:r>
        <w:rPr>
          <w:rFonts w:ascii="宋体" w:hAnsi="宋体" w:eastAsia="宋体"/>
          <w:b w:val="0"/>
          <w:color w:val="111827"/>
          <w:sz w:val="24"/>
        </w:rPr>
        <w:t>项目已在本地 3 家合作社完成试点，累计作业 4200 亩次，预警准确率 91%，客户复购率 100%。本阶段重点验证规模化复制下的单亩成本与飞手排班模型。</w:t>
      </w:r>
    </w:p>
    <w:p>
      <w:pPr>
        <w:spacing w:before="0" w:after="120" w:lineRule="auto" w:line="360"/>
        <w:ind w:firstLine="480"/>
      </w:pPr>
      <w:r>
        <w:rPr>
          <w:rFonts w:ascii="宋体" w:hAnsi="宋体" w:eastAsia="宋体"/>
          <w:b w:val="0"/>
          <w:color w:val="111827"/>
          <w:sz w:val="24"/>
        </w:rPr>
        <w:t>项目的第一个客户是学校旁边的一家蔬菜合作社。2025 年春季，他们有一批番茄出现叶片发黄，等到肉眼能明确判断时，已经是病害中期，损失了将近三成。事后复盘发现，如果早一周发现，用药成本不到当时的五分之一。这个案例成了我们做这件事的直接动因——不是要提高产量，是要把发现问题的时点提前。</w:t>
      </w:r>
    </w:p>
    <w:p>
      <w:pPr>
        <w:spacing w:before="0" w:after="120" w:lineRule="auto" w:line="360"/>
        <w:ind w:firstLine="480"/>
      </w:pPr>
      <w:r>
        <w:rPr>
          <w:rFonts w:ascii="宋体" w:hAnsi="宋体" w:eastAsia="宋体"/>
          <w:b w:val="0"/>
          <w:color w:val="111827"/>
          <w:sz w:val="24"/>
        </w:rPr>
        <w:t>多光谱成像的价值恰好在这里：人眼看不到的波段变化，往往比肉眼可见的症状早出现 5—7 天。技术上这件事并不新鲜，农业科研院所早就在做；但它一直停留在论文和试验田里，没有变成农户能买到的一次服务。我们想做的，就是把这段距离补上。</w:t>
      </w:r>
    </w:p>
    <w:p>
      <w:pPr>
        <w:spacing w:before="0" w:after="120" w:lineRule="auto" w:line="360"/>
        <w:ind w:firstLine="480"/>
      </w:pPr>
      <w:r>
        <w:rPr>
          <w:rFonts w:ascii="宋体" w:hAnsi="宋体" w:eastAsia="宋体"/>
          <w:b w:val="0"/>
          <w:color w:val="111827"/>
          <w:sz w:val="24"/>
        </w:rPr>
        <w:t>团队目前的构成有一个明显短板：五个成员里四个是技术背景，只有一人做过市场。这在试点阶段够用，因为客户是熟人介绍的合作社；但进入复制阶段就不够了——换一个县，没有人认识我们。</w:t>
      </w:r>
    </w:p>
    <w:p>
      <w:pPr>
        <w:spacing w:before="0" w:after="120" w:lineRule="auto" w:line="360"/>
        <w:ind w:firstLine="480"/>
      </w:pPr>
      <w:r>
        <w:rPr>
          <w:rFonts w:ascii="宋体" w:hAnsi="宋体" w:eastAsia="宋体"/>
          <w:b w:val="0"/>
          <w:color w:val="111827"/>
          <w:sz w:val="24"/>
        </w:rPr>
        <w:t>所以本项目的训练重点，不在于把算法做得更准，而在于验证一件事：能不能把「靠关系拿到的前三个客户」变成「靠流程拿到的第十个客户」。这个转变比技术迭代难得多。</w:t>
      </w:r>
    </w:p>
    <w:p>
      <w:pPr>
        <w:keepNext/>
        <w:keepLines/>
        <w:spacing w:before="280" w:after="140" w:line="360" w:lineRule="auto"/>
        <w:outlineLvl w:val="0"/>
      </w:pPr>
      <w:r>
        <w:rPr>
          <w:rFonts w:ascii="黑体" w:hAnsi="黑体" w:eastAsia="黑体"/>
          <w:b/>
          <w:color w:val="111827"/>
          <w:sz w:val="30"/>
        </w:rPr>
        <w:t>二、市场分析与商业模式</w:t>
      </w:r>
    </w:p>
    <w:p>
      <w:pPr>
        <w:spacing w:before="0" w:after="120" w:lineRule="auto" w:line="360"/>
        <w:ind w:firstLine="480"/>
      </w:pPr>
      <w:r>
        <w:rPr>
          <w:rFonts w:ascii="宋体" w:hAnsi="宋体" w:eastAsia="宋体"/>
          <w:b w:val="0"/>
          <w:color w:val="111827"/>
          <w:sz w:val="24"/>
        </w:rPr>
        <w:t>据农业农村部数据，全国农作物病虫害年均发生面积超过 20 亿亩次，而基层植保技术人员人均服务面积不足 3000 亩，监测能力存在结构性缺口。本项目切的是「监测」这一环，不与植保无人机厂商在喷洒环节正面竞争（见图 1）。</w:t>
      </w:r>
    </w:p>
    <w:p>
      <w:pPr>
        <w:keepNext/>
        <w:keepLines/>
        <w:spacing w:before="160" w:after="60"/>
        <w:jc w:val="center"/>
      </w:pPr>
      <w:r>
        <w:drawing>
          <wp:inline xmlns:a="http://schemas.openxmlformats.org/drawingml/2006/main" xmlns:pic="http://schemas.openxmlformats.org/drawingml/2006/picture">
            <wp:extent cx="5472000" cy="2249712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07_canvas.png"/>
                    <pic:cNvPicPr/>
                  </pic:nvPicPr>
                  <pic:blipFill>
                    <a:blip r:embed="rId10"/>
                    <a:stretch>
                      <a:fillRect/>
                    </a:stretch>
                  </pic:blipFill>
                  <pic:spPr>
                    <a:xfrm>
                      <a:off x="0" y="0"/>
                      <a:ext cx="5472000" cy="2249712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keepLines/>
        <w:spacing w:before="0" w:after="200"/>
        <w:jc w:val="center"/>
      </w:pPr>
      <w:r>
        <w:rPr>
          <w:rFonts w:ascii="宋体" w:hAnsi="宋体" w:eastAsia="宋体"/>
          <w:b w:val="0"/>
          <w:color w:val="6B7280"/>
          <w:sz w:val="21"/>
        </w:rPr>
        <w:t>图 1　商业模式画布：九宫格呈现价值主张与收入结构</w:t>
      </w:r>
    </w:p>
    <w:p>
      <w:pPr>
        <w:spacing w:before="0" w:after="120" w:lineRule="auto" w:line="360"/>
        <w:ind w:firstLine="480"/>
      </w:pPr>
      <w:r>
        <w:rPr>
          <w:rFonts w:ascii="宋体" w:hAnsi="宋体" w:eastAsia="宋体"/>
          <w:b w:val="0"/>
          <w:color w:val="111827"/>
          <w:sz w:val="24"/>
        </w:rPr>
        <w:t>商业模式的核心是「服务订阅 + 农资集采佣金」双轮驱动。前者提供稳定现金流，后者在掌握种植数据后自然延伸，边际成本极低。</w:t>
      </w:r>
    </w:p>
    <w:p>
      <w:pPr>
        <w:keepNext/>
        <w:keepLines/>
        <w:spacing w:before="200" w:after="100" w:line="360" w:lineRule="auto"/>
        <w:outlineLvl w:val="1"/>
      </w:pPr>
      <w:r>
        <w:rPr>
          <w:rFonts w:ascii="黑体" w:hAnsi="黑体" w:eastAsia="黑体"/>
          <w:b/>
          <w:color w:val="111827"/>
          <w:sz w:val="25"/>
        </w:rPr>
        <w:t>2.1 客户画像与获客路径</w:t>
      </w:r>
    </w:p>
    <w:p>
      <w:pPr>
        <w:spacing w:before="0" w:after="120" w:lineRule="auto" w:line="360"/>
        <w:ind w:firstLine="480"/>
      </w:pPr>
      <w:r>
        <w:rPr>
          <w:rFonts w:ascii="宋体" w:hAnsi="宋体" w:eastAsia="宋体"/>
          <w:b w:val="0"/>
          <w:color w:val="111827"/>
          <w:sz w:val="24"/>
        </w:rPr>
        <w:t>目标客户不是「所有农户」，而是有明确特征的三个群体：50 亩以上规模种植户（有付费能力、对产量敏感）、农业合作社（有组织决策能力）、县域农服公司（有二次分销能力）。这三类客户的获客成本差异极大——散户地推成本约 400 元/户，合作社约 120 元/户，农服公司约 60 元/户。因此首年策略明确放弃散户，集中打合作社与农服公司。</w:t>
      </w:r>
    </w:p>
    <w:p>
      <w:pPr>
        <w:spacing w:before="0" w:after="120" w:lineRule="auto" w:line="360"/>
        <w:ind w:firstLine="480"/>
      </w:pPr>
      <w:r>
        <w:rPr>
          <w:rFonts w:ascii="宋体" w:hAnsi="宋体" w:eastAsia="宋体"/>
          <w:b w:val="0"/>
          <w:color w:val="111827"/>
          <w:sz w:val="24"/>
        </w:rPr>
        <w:t>获客路径设计为「示范田 + 老带新」。每个县选 2—3 块示范田免费服务一季，收割时组织现场观摩，用产量与用药成本的对比数据说服周边农户。试点数据显示，一场观摩会的当场签约率约 18%，会后两周内追加约 9%。</w:t>
      </w:r>
    </w:p>
    <w:p>
      <w:pPr>
        <w:keepNext/>
        <w:keepLines/>
        <w:spacing w:before="200" w:after="100" w:line="360" w:lineRule="auto"/>
        <w:outlineLvl w:val="1"/>
      </w:pPr>
      <w:r>
        <w:rPr>
          <w:rFonts w:ascii="黑体" w:hAnsi="黑体" w:eastAsia="黑体"/>
          <w:b/>
          <w:color w:val="111827"/>
          <w:sz w:val="25"/>
        </w:rPr>
        <w:t>2.2 单位经济模型</w:t>
      </w:r>
    </w:p>
    <w:p>
      <w:pPr>
        <w:spacing w:before="0" w:after="120" w:lineRule="auto" w:line="360"/>
        <w:ind w:firstLine="480"/>
      </w:pPr>
      <w:r>
        <w:rPr>
          <w:rFonts w:ascii="宋体" w:hAnsi="宋体" w:eastAsia="宋体"/>
          <w:b w:val="0"/>
          <w:color w:val="111827"/>
          <w:sz w:val="24"/>
        </w:rPr>
        <w:t>单位经济模型决定这个生意能不能规模化复制。我们按一亩一次的完整作业周期拆开算：收入端是每亩每次 8 元的服务费，成本端包含飞手、折旧、耗材与数据处理四块，逐项口径与金额见表 1。</w:t>
      </w:r>
    </w:p>
    <w:p>
      <w:pPr>
        <w:keepNext/>
        <w:keepLines/>
        <w:spacing w:before="120" w:after="40" w:line="288" w:lineRule="auto"/>
        <w:jc w:val="center"/>
      </w:pPr>
      <w:r>
        <w:rPr>
          <w:rFonts w:ascii="黑体" w:hAnsi="黑体" w:eastAsia="黑体"/>
          <w:b w:val="0"/>
          <w:color w:val="111827"/>
          <w:sz w:val="21"/>
        </w:rPr>
        <w:t>表 1　单亩单次作业的成本构成与计算口径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  <w:tblLayout w:type="fixed"/>
        <w:tblCellMar>
          <w:top w:w="50" w:type="dxa"/>
          <w:bottom w:w="50" w:type="dxa"/>
          <w:left w:w="100" w:type="dxa"/>
          <w:right w:w="100" w:type="dxa"/>
        </w:tblCellMar>
      </w:tblPr>
      <w:tblGrid>
        <w:gridCol w:w="2292"/>
        <w:gridCol w:w="2401"/>
        <w:gridCol w:w="4038"/>
      </w:tblGrid>
      <w:tr>
        <w:trPr>
          <w:tblHeader/>
          <w:cantSplit/>
        </w:trPr>
        <w:tc>
          <w:tcPr>
            <w:tcW w:type="dxa" w:w="2292"/>
          </w:tcPr>
          <w:p>
            <w:pPr>
              <w:keepNext/>
              <w:keepLines/>
              <w:spacing w:before="0" w:after="0"/>
              <w:jc w:val="center"/>
            </w:pPr>
            <w:r/>
            <w:r>
              <w:rPr>
                <w:rFonts w:ascii="黑体" w:hAnsi="黑体" w:eastAsia="黑体"/>
                <w:b/>
                <w:color w:val="111827"/>
                <w:sz w:val="21"/>
              </w:rPr>
              <w:t>项目</w:t>
            </w:r>
          </w:p>
        </w:tc>
        <w:tc>
          <w:tcPr>
            <w:tcW w:type="dxa" w:w="2401"/>
          </w:tcPr>
          <w:p>
            <w:pPr>
              <w:keepNext/>
              <w:keepLines/>
              <w:spacing w:before="0" w:after="0"/>
              <w:jc w:val="center"/>
            </w:pPr>
            <w:r/>
            <w:r>
              <w:rPr>
                <w:rFonts w:ascii="黑体" w:hAnsi="黑体" w:eastAsia="黑体"/>
                <w:b/>
                <w:color w:val="111827"/>
                <w:sz w:val="21"/>
              </w:rPr>
              <w:t>金额（元/亩·次）</w:t>
            </w:r>
          </w:p>
        </w:tc>
        <w:tc>
          <w:tcPr>
            <w:tcW w:type="dxa" w:w="4038"/>
          </w:tcPr>
          <w:p>
            <w:pPr>
              <w:keepNext/>
              <w:keepLines/>
              <w:spacing w:before="0" w:after="0"/>
              <w:jc w:val="center"/>
            </w:pPr>
            <w:r/>
            <w:r>
              <w:rPr>
                <w:rFonts w:ascii="黑体" w:hAnsi="黑体" w:eastAsia="黑体"/>
                <w:b/>
                <w:color w:val="111827"/>
                <w:sz w:val="21"/>
              </w:rPr>
              <w:t>说明</w:t>
            </w:r>
          </w:p>
        </w:tc>
      </w:tr>
      <w:tr>
        <w:trPr>
          <w:cantSplit/>
        </w:trPr>
        <w:tc>
          <w:tcPr>
            <w:tcW w:type="dxa" w:w="2292"/>
          </w:tcPr>
          <w:p>
            <w:pPr>
              <w:keepNext/>
              <w:keepLines/>
              <w:spacing w:before="0" w:after="0" w:line="276" w:lineRule="auto"/>
            </w:pPr>
            <w:r/>
            <w:r>
              <w:rPr>
                <w:rFonts w:ascii="宋体" w:hAnsi="宋体" w:eastAsia="宋体"/>
                <w:b w:val="0"/>
                <w:color w:val="111827"/>
                <w:sz w:val="21"/>
              </w:rPr>
              <w:t>服务收入</w:t>
            </w:r>
          </w:p>
        </w:tc>
        <w:tc>
          <w:tcPr>
            <w:tcW w:type="dxa" w:w="2401"/>
          </w:tcPr>
          <w:p>
            <w:pPr>
              <w:keepNext/>
              <w:keepLines/>
              <w:spacing w:before="0" w:after="0" w:line="276" w:lineRule="auto"/>
              <w:jc w:val="center"/>
            </w:pPr>
            <w:r/>
            <w:r>
              <w:rPr>
                <w:rFonts w:ascii="宋体" w:hAnsi="宋体" w:eastAsia="宋体"/>
                <w:b w:val="0"/>
                <w:color w:val="111827"/>
                <w:sz w:val="21"/>
              </w:rPr>
              <w:t>8.0</w:t>
            </w:r>
          </w:p>
        </w:tc>
        <w:tc>
          <w:tcPr>
            <w:tcW w:type="dxa" w:w="4038"/>
          </w:tcPr>
          <w:p>
            <w:pPr>
              <w:keepNext/>
              <w:keepLines/>
              <w:spacing w:before="0" w:after="0" w:line="276" w:lineRule="auto"/>
              <w:jc w:val="center"/>
            </w:pPr>
            <w:r/>
            <w:r>
              <w:rPr>
                <w:rFonts w:ascii="宋体" w:hAnsi="宋体" w:eastAsia="宋体"/>
                <w:b w:val="0"/>
                <w:color w:val="111827"/>
                <w:sz w:val="21"/>
              </w:rPr>
              <w:t>按亩次计费</w:t>
            </w:r>
          </w:p>
        </w:tc>
      </w:tr>
      <w:tr>
        <w:trPr>
          <w:cantSplit/>
        </w:trPr>
        <w:tc>
          <w:tcPr>
            <w:tcW w:type="dxa" w:w="2292"/>
          </w:tcPr>
          <w:p>
            <w:pPr>
              <w:keepNext/>
              <w:keepLines/>
              <w:spacing w:before="0" w:after="0" w:line="276" w:lineRule="auto"/>
            </w:pPr>
            <w:r/>
            <w:r>
              <w:rPr>
                <w:rFonts w:ascii="宋体" w:hAnsi="宋体" w:eastAsia="宋体"/>
                <w:b w:val="0"/>
                <w:color w:val="111827"/>
                <w:sz w:val="21"/>
              </w:rPr>
              <w:t>飞手成本</w:t>
            </w:r>
          </w:p>
        </w:tc>
        <w:tc>
          <w:tcPr>
            <w:tcW w:type="dxa" w:w="2401"/>
          </w:tcPr>
          <w:p>
            <w:pPr>
              <w:keepNext/>
              <w:keepLines/>
              <w:spacing w:before="0" w:after="0" w:line="276" w:lineRule="auto"/>
              <w:jc w:val="center"/>
            </w:pPr>
            <w:r/>
            <w:r>
              <w:rPr>
                <w:rFonts w:ascii="宋体" w:hAnsi="宋体" w:eastAsia="宋体"/>
                <w:b w:val="0"/>
                <w:color w:val="111827"/>
                <w:sz w:val="21"/>
              </w:rPr>
              <w:t>-2.4</w:t>
            </w:r>
          </w:p>
        </w:tc>
        <w:tc>
          <w:tcPr>
            <w:tcW w:type="dxa" w:w="4038"/>
          </w:tcPr>
          <w:p>
            <w:pPr>
              <w:keepNext/>
              <w:keepLines/>
              <w:spacing w:before="0" w:after="0" w:line="276" w:lineRule="auto"/>
              <w:jc w:val="center"/>
            </w:pPr>
            <w:r/>
            <w:r>
              <w:rPr>
                <w:rFonts w:ascii="宋体" w:hAnsi="宋体" w:eastAsia="宋体"/>
                <w:b w:val="0"/>
                <w:color w:val="111827"/>
                <w:sz w:val="21"/>
              </w:rPr>
              <w:t>人均日作业 400 亩，日工资 480 元 + 补贴</w:t>
            </w:r>
          </w:p>
        </w:tc>
      </w:tr>
      <w:tr>
        <w:trPr>
          <w:cantSplit/>
        </w:trPr>
        <w:tc>
          <w:tcPr>
            <w:tcW w:type="dxa" w:w="2292"/>
          </w:tcPr>
          <w:p>
            <w:pPr>
              <w:keepNext/>
              <w:keepLines/>
              <w:spacing w:before="0" w:after="0" w:line="276" w:lineRule="auto"/>
            </w:pPr>
            <w:r/>
            <w:r>
              <w:rPr>
                <w:rFonts w:ascii="宋体" w:hAnsi="宋体" w:eastAsia="宋体"/>
                <w:b w:val="0"/>
                <w:color w:val="111827"/>
                <w:sz w:val="21"/>
              </w:rPr>
              <w:t>设备折旧</w:t>
            </w:r>
          </w:p>
        </w:tc>
        <w:tc>
          <w:tcPr>
            <w:tcW w:type="dxa" w:w="2401"/>
          </w:tcPr>
          <w:p>
            <w:pPr>
              <w:keepNext/>
              <w:keepLines/>
              <w:spacing w:before="0" w:after="0" w:line="276" w:lineRule="auto"/>
              <w:jc w:val="center"/>
            </w:pPr>
            <w:r/>
            <w:r>
              <w:rPr>
                <w:rFonts w:ascii="宋体" w:hAnsi="宋体" w:eastAsia="宋体"/>
                <w:b w:val="0"/>
                <w:color w:val="111827"/>
                <w:sz w:val="21"/>
              </w:rPr>
              <w:t>-1.1</w:t>
            </w:r>
          </w:p>
        </w:tc>
        <w:tc>
          <w:tcPr>
            <w:tcW w:type="dxa" w:w="4038"/>
          </w:tcPr>
          <w:p>
            <w:pPr>
              <w:keepNext/>
              <w:keepLines/>
              <w:spacing w:before="0" w:after="0" w:line="276" w:lineRule="auto"/>
              <w:jc w:val="center"/>
            </w:pPr>
            <w:r/>
            <w:r>
              <w:rPr>
                <w:rFonts w:ascii="宋体" w:hAnsi="宋体" w:eastAsia="宋体"/>
                <w:b w:val="0"/>
                <w:color w:val="111827"/>
                <w:sz w:val="21"/>
              </w:rPr>
              <w:t>单机 8 万元，按 5 年 8000 亩次摊</w:t>
            </w:r>
          </w:p>
        </w:tc>
      </w:tr>
      <w:tr>
        <w:trPr>
          <w:cantSplit/>
        </w:trPr>
        <w:tc>
          <w:tcPr>
            <w:tcW w:type="dxa" w:w="2292"/>
          </w:tcPr>
          <w:p>
            <w:pPr>
              <w:keepNext/>
              <w:keepLines/>
              <w:spacing w:before="0" w:after="0" w:line="276" w:lineRule="auto"/>
            </w:pPr>
            <w:r/>
            <w:r>
              <w:rPr>
                <w:rFonts w:ascii="宋体" w:hAnsi="宋体" w:eastAsia="宋体"/>
                <w:b w:val="0"/>
                <w:color w:val="111827"/>
                <w:sz w:val="21"/>
              </w:rPr>
              <w:t>电池与耗材</w:t>
            </w:r>
          </w:p>
        </w:tc>
        <w:tc>
          <w:tcPr>
            <w:tcW w:type="dxa" w:w="2401"/>
          </w:tcPr>
          <w:p>
            <w:pPr>
              <w:keepNext/>
              <w:keepLines/>
              <w:spacing w:before="0" w:after="0" w:line="276" w:lineRule="auto"/>
              <w:jc w:val="center"/>
            </w:pPr>
            <w:r/>
            <w:r>
              <w:rPr>
                <w:rFonts w:ascii="宋体" w:hAnsi="宋体" w:eastAsia="宋体"/>
                <w:b w:val="0"/>
                <w:color w:val="111827"/>
                <w:sz w:val="21"/>
              </w:rPr>
              <w:t>-0.6</w:t>
            </w:r>
          </w:p>
        </w:tc>
        <w:tc>
          <w:tcPr>
            <w:tcW w:type="dxa" w:w="4038"/>
          </w:tcPr>
          <w:p>
            <w:pPr>
              <w:keepNext/>
              <w:keepLines/>
              <w:spacing w:before="0" w:after="0" w:line="276" w:lineRule="auto"/>
              <w:jc w:val="center"/>
            </w:pPr>
            <w:r/>
            <w:r>
              <w:rPr>
                <w:rFonts w:ascii="宋体" w:hAnsi="宋体" w:eastAsia="宋体"/>
                <w:b w:val="0"/>
                <w:color w:val="111827"/>
                <w:sz w:val="21"/>
              </w:rPr>
              <w:t>每架次电池损耗与桨叶更换</w:t>
            </w:r>
          </w:p>
        </w:tc>
      </w:tr>
      <w:tr>
        <w:trPr>
          <w:cantSplit/>
        </w:trPr>
        <w:tc>
          <w:tcPr>
            <w:tcW w:type="dxa" w:w="2292"/>
          </w:tcPr>
          <w:p>
            <w:pPr>
              <w:keepNext/>
              <w:keepLines/>
              <w:spacing w:before="0" w:after="0" w:line="276" w:lineRule="auto"/>
            </w:pPr>
            <w:r/>
            <w:r>
              <w:rPr>
                <w:rFonts w:ascii="宋体" w:hAnsi="宋体" w:eastAsia="宋体"/>
                <w:b w:val="0"/>
                <w:color w:val="111827"/>
                <w:sz w:val="21"/>
              </w:rPr>
              <w:t>数据处理</w:t>
            </w:r>
          </w:p>
        </w:tc>
        <w:tc>
          <w:tcPr>
            <w:tcW w:type="dxa" w:w="2401"/>
          </w:tcPr>
          <w:p>
            <w:pPr>
              <w:keepNext/>
              <w:keepLines/>
              <w:spacing w:before="0" w:after="0" w:line="276" w:lineRule="auto"/>
              <w:jc w:val="center"/>
            </w:pPr>
            <w:r/>
            <w:r>
              <w:rPr>
                <w:rFonts w:ascii="宋体" w:hAnsi="宋体" w:eastAsia="宋体"/>
                <w:b w:val="0"/>
                <w:color w:val="111827"/>
                <w:sz w:val="21"/>
              </w:rPr>
              <w:t>-0.3</w:t>
            </w:r>
          </w:p>
        </w:tc>
        <w:tc>
          <w:tcPr>
            <w:tcW w:type="dxa" w:w="4038"/>
          </w:tcPr>
          <w:p>
            <w:pPr>
              <w:keepNext/>
              <w:keepLines/>
              <w:spacing w:before="0" w:after="0" w:line="276" w:lineRule="auto"/>
              <w:jc w:val="center"/>
            </w:pPr>
            <w:r/>
            <w:r>
              <w:rPr>
                <w:rFonts w:ascii="宋体" w:hAnsi="宋体" w:eastAsia="宋体"/>
                <w:b w:val="0"/>
                <w:color w:val="111827"/>
                <w:sz w:val="21"/>
              </w:rPr>
              <w:t>模型推理与报告生成</w:t>
            </w:r>
          </w:p>
        </w:tc>
      </w:tr>
      <w:tr>
        <w:trPr>
          <w:cantSplit/>
        </w:trPr>
        <w:tc>
          <w:tcPr>
            <w:tcW w:type="dxa" w:w="2292"/>
          </w:tcPr>
          <w:p>
            <w:pPr>
              <w:spacing w:before="0" w:after="0" w:line="276" w:lineRule="auto"/>
            </w:pPr>
            <w:r/>
            <w:r>
              <w:rPr>
                <w:rFonts w:ascii="宋体" w:hAnsi="宋体" w:eastAsia="宋体"/>
                <w:b/>
                <w:color w:val="111827"/>
                <w:sz w:val="21"/>
              </w:rPr>
              <w:t>单亩毛利</w:t>
            </w:r>
          </w:p>
        </w:tc>
        <w:tc>
          <w:tcPr>
            <w:tcW w:type="dxa" w:w="2401"/>
          </w:tcPr>
          <w:p>
            <w:pPr>
              <w:spacing w:before="0" w:after="0" w:line="276" w:lineRule="auto"/>
              <w:jc w:val="center"/>
            </w:pPr>
            <w:r/>
            <w:r>
              <w:rPr>
                <w:rFonts w:ascii="宋体" w:hAnsi="宋体" w:eastAsia="宋体"/>
                <w:b/>
                <w:color w:val="111827"/>
                <w:sz w:val="21"/>
              </w:rPr>
              <w:t>3.6</w:t>
            </w:r>
          </w:p>
        </w:tc>
        <w:tc>
          <w:tcPr>
            <w:tcW w:type="dxa" w:w="4038"/>
          </w:tcPr>
          <w:p>
            <w:pPr>
              <w:spacing w:before="0" w:after="0" w:line="276" w:lineRule="auto"/>
              <w:jc w:val="center"/>
            </w:pPr>
            <w:r/>
            <w:r>
              <w:rPr>
                <w:rFonts w:ascii="宋体" w:hAnsi="宋体" w:eastAsia="宋体"/>
                <w:b/>
                <w:color w:val="111827"/>
                <w:sz w:val="21"/>
              </w:rPr>
              <w:t>毛利率 45%</w:t>
            </w:r>
          </w:p>
        </w:tc>
      </w:tr>
    </w:tbl>
    <w:p>
      <w:pPr>
        <w:spacing w:before="0" w:after="0" w:line="240" w:lineRule="exact"/>
      </w:pPr>
      <w:r>
        <w:rPr>
          <w:rFonts w:ascii="宋体" w:hAnsi="宋体" w:eastAsia="宋体"/>
          <w:b w:val="0"/>
          <w:color w:val="111827"/>
          <w:sz w:val="16"/>
        </w:rPr>
      </w:r>
    </w:p>
    <w:p>
      <w:pPr>
        <w:keepNext/>
        <w:keepLines/>
        <w:spacing w:before="280" w:after="140" w:line="360" w:lineRule="auto"/>
        <w:outlineLvl w:val="0"/>
      </w:pPr>
      <w:r>
        <w:rPr>
          <w:rFonts w:ascii="黑体" w:hAnsi="黑体" w:eastAsia="黑体"/>
          <w:b/>
          <w:color w:val="111827"/>
          <w:sz w:val="30"/>
        </w:rPr>
        <w:t>三、产品与服务方案</w:t>
      </w:r>
    </w:p>
    <w:p>
      <w:pPr>
        <w:keepNext/>
        <w:keepLines/>
        <w:spacing w:before="0" w:after="120" w:lineRule="auto" w:line="360"/>
        <w:ind w:firstLine="480"/>
      </w:pPr>
      <w:r>
        <w:rPr>
          <w:rFonts w:ascii="宋体" w:hAnsi="宋体" w:eastAsia="宋体"/>
          <w:b w:val="0"/>
          <w:color w:val="111827"/>
          <w:sz w:val="24"/>
        </w:rPr>
        <w:t>服务按作物生长周期分为四档，不同档位的采集频次与报告深度不同如表 2 所示：</w:t>
      </w:r>
    </w:p>
    <w:p>
      <w:pPr>
        <w:keepNext/>
        <w:keepLines/>
        <w:spacing w:before="120" w:after="40" w:line="288" w:lineRule="auto"/>
        <w:jc w:val="center"/>
      </w:pPr>
      <w:r>
        <w:rPr>
          <w:rFonts w:ascii="黑体" w:hAnsi="黑体" w:eastAsia="黑体"/>
          <w:b w:val="0"/>
          <w:color w:val="111827"/>
          <w:sz w:val="21"/>
        </w:rPr>
        <w:t>表 2　三档服务的采集频次、交付内容与定价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  <w:tblLayout w:type="fixed"/>
        <w:tblCellMar>
          <w:top w:w="50" w:type="dxa"/>
          <w:bottom w:w="50" w:type="dxa"/>
          <w:left w:w="100" w:type="dxa"/>
          <w:right w:w="100" w:type="dxa"/>
        </w:tblCellMar>
      </w:tblPr>
      <w:tblGrid>
        <w:gridCol w:w="1658"/>
        <w:gridCol w:w="1768"/>
        <w:gridCol w:w="3647"/>
        <w:gridCol w:w="1658"/>
      </w:tblGrid>
      <w:tr>
        <w:trPr>
          <w:tblHeader/>
          <w:cantSplit/>
        </w:trPr>
        <w:tc>
          <w:tcPr>
            <w:tcW w:type="dxa" w:w="1658"/>
          </w:tcPr>
          <w:p>
            <w:pPr>
              <w:keepNext/>
              <w:keepLines/>
              <w:spacing w:before="0" w:after="0"/>
              <w:jc w:val="center"/>
            </w:pPr>
            <w:r/>
            <w:r>
              <w:rPr>
                <w:rFonts w:ascii="黑体" w:hAnsi="黑体" w:eastAsia="黑体"/>
                <w:b/>
                <w:color w:val="111827"/>
                <w:sz w:val="21"/>
              </w:rPr>
              <w:t>服务档位</w:t>
            </w:r>
          </w:p>
        </w:tc>
        <w:tc>
          <w:tcPr>
            <w:tcW w:type="dxa" w:w="1768"/>
          </w:tcPr>
          <w:p>
            <w:pPr>
              <w:keepNext/>
              <w:keepLines/>
              <w:spacing w:before="0" w:after="0"/>
              <w:jc w:val="center"/>
            </w:pPr>
            <w:r/>
            <w:r>
              <w:rPr>
                <w:rFonts w:ascii="黑体" w:hAnsi="黑体" w:eastAsia="黑体"/>
                <w:b/>
                <w:color w:val="111827"/>
                <w:sz w:val="21"/>
              </w:rPr>
              <w:t>采集频次</w:t>
            </w:r>
          </w:p>
        </w:tc>
        <w:tc>
          <w:tcPr>
            <w:tcW w:type="dxa" w:w="3647"/>
          </w:tcPr>
          <w:p>
            <w:pPr>
              <w:keepNext/>
              <w:keepLines/>
              <w:spacing w:before="0" w:after="0"/>
              <w:jc w:val="center"/>
            </w:pPr>
            <w:r/>
            <w:r>
              <w:rPr>
                <w:rFonts w:ascii="黑体" w:hAnsi="黑体" w:eastAsia="黑体"/>
                <w:b/>
                <w:color w:val="111827"/>
                <w:sz w:val="21"/>
              </w:rPr>
              <w:t>交付内容</w:t>
            </w:r>
          </w:p>
        </w:tc>
        <w:tc>
          <w:tcPr>
            <w:tcW w:type="dxa" w:w="1658"/>
          </w:tcPr>
          <w:p>
            <w:pPr>
              <w:keepNext/>
              <w:keepLines/>
              <w:spacing w:before="0" w:after="0"/>
              <w:jc w:val="center"/>
            </w:pPr>
            <w:r/>
            <w:r>
              <w:rPr>
                <w:rFonts w:ascii="黑体" w:hAnsi="黑体" w:eastAsia="黑体"/>
                <w:b/>
                <w:color w:val="111827"/>
                <w:sz w:val="21"/>
              </w:rPr>
              <w:t>单价</w:t>
            </w:r>
          </w:p>
        </w:tc>
      </w:tr>
      <w:tr>
        <w:trPr>
          <w:cantSplit/>
        </w:trPr>
        <w:tc>
          <w:tcPr>
            <w:tcW w:type="dxa" w:w="1658"/>
          </w:tcPr>
          <w:p>
            <w:pPr>
              <w:keepNext/>
              <w:keepLines/>
              <w:spacing w:before="0" w:after="0" w:line="276" w:lineRule="auto"/>
            </w:pPr>
            <w:r/>
            <w:r>
              <w:rPr>
                <w:rFonts w:ascii="宋体" w:hAnsi="宋体" w:eastAsia="宋体"/>
                <w:b w:val="0"/>
                <w:color w:val="111827"/>
                <w:sz w:val="21"/>
              </w:rPr>
              <w:t>基础监测</w:t>
            </w:r>
          </w:p>
        </w:tc>
        <w:tc>
          <w:tcPr>
            <w:tcW w:type="dxa" w:w="1768"/>
          </w:tcPr>
          <w:p>
            <w:pPr>
              <w:keepNext/>
              <w:keepLines/>
              <w:spacing w:before="0" w:after="0" w:line="276" w:lineRule="auto"/>
              <w:jc w:val="center"/>
            </w:pPr>
            <w:r/>
            <w:r>
              <w:rPr>
                <w:rFonts w:ascii="宋体" w:hAnsi="宋体" w:eastAsia="宋体"/>
                <w:b w:val="0"/>
                <w:color w:val="111827"/>
                <w:sz w:val="21"/>
              </w:rPr>
              <w:t>每月 1 次</w:t>
            </w:r>
          </w:p>
        </w:tc>
        <w:tc>
          <w:tcPr>
            <w:tcW w:type="dxa" w:w="3647"/>
          </w:tcPr>
          <w:p>
            <w:pPr>
              <w:keepNext/>
              <w:keepLines/>
              <w:spacing w:before="0" w:after="0" w:line="276" w:lineRule="auto"/>
              <w:jc w:val="center"/>
            </w:pPr>
            <w:r/>
            <w:r>
              <w:rPr>
                <w:rFonts w:ascii="宋体" w:hAnsi="宋体" w:eastAsia="宋体"/>
                <w:b w:val="0"/>
                <w:color w:val="111827"/>
                <w:sz w:val="21"/>
              </w:rPr>
              <w:t>长势分级图 + 异常地块标注</w:t>
            </w:r>
          </w:p>
        </w:tc>
        <w:tc>
          <w:tcPr>
            <w:tcW w:type="dxa" w:w="1658"/>
          </w:tcPr>
          <w:p>
            <w:pPr>
              <w:keepNext/>
              <w:keepLines/>
              <w:spacing w:before="0" w:after="0" w:line="276" w:lineRule="auto"/>
              <w:jc w:val="center"/>
            </w:pPr>
            <w:r/>
            <w:r>
              <w:rPr>
                <w:rFonts w:ascii="宋体" w:hAnsi="宋体" w:eastAsia="宋体"/>
                <w:b w:val="0"/>
                <w:color w:val="111827"/>
                <w:sz w:val="21"/>
              </w:rPr>
              <w:t>8 元/亩·次</w:t>
            </w:r>
          </w:p>
        </w:tc>
      </w:tr>
      <w:tr>
        <w:trPr>
          <w:cantSplit/>
        </w:trPr>
        <w:tc>
          <w:tcPr>
            <w:tcW w:type="dxa" w:w="1658"/>
          </w:tcPr>
          <w:p>
            <w:pPr>
              <w:keepNext/>
              <w:keepLines/>
              <w:spacing w:before="0" w:after="0" w:line="276" w:lineRule="auto"/>
            </w:pPr>
            <w:r/>
            <w:r>
              <w:rPr>
                <w:rFonts w:ascii="宋体" w:hAnsi="宋体" w:eastAsia="宋体"/>
                <w:b w:val="0"/>
                <w:color w:val="111827"/>
                <w:sz w:val="21"/>
              </w:rPr>
              <w:t>标准监测</w:t>
            </w:r>
          </w:p>
        </w:tc>
        <w:tc>
          <w:tcPr>
            <w:tcW w:type="dxa" w:w="1768"/>
          </w:tcPr>
          <w:p>
            <w:pPr>
              <w:keepNext/>
              <w:keepLines/>
              <w:spacing w:before="0" w:after="0" w:line="276" w:lineRule="auto"/>
              <w:jc w:val="center"/>
            </w:pPr>
            <w:r/>
            <w:r>
              <w:rPr>
                <w:rFonts w:ascii="宋体" w:hAnsi="宋体" w:eastAsia="宋体"/>
                <w:b w:val="0"/>
                <w:color w:val="111827"/>
                <w:sz w:val="21"/>
              </w:rPr>
              <w:t>每半月 1 次</w:t>
            </w:r>
          </w:p>
        </w:tc>
        <w:tc>
          <w:tcPr>
            <w:tcW w:type="dxa" w:w="3647"/>
          </w:tcPr>
          <w:p>
            <w:pPr>
              <w:keepNext/>
              <w:keepLines/>
              <w:spacing w:before="0" w:after="0" w:line="276" w:lineRule="auto"/>
              <w:jc w:val="center"/>
            </w:pPr>
            <w:r/>
            <w:r>
              <w:rPr>
                <w:rFonts w:ascii="宋体" w:hAnsi="宋体" w:eastAsia="宋体"/>
                <w:b w:val="0"/>
                <w:color w:val="111827"/>
                <w:sz w:val="21"/>
              </w:rPr>
              <w:t>增加病虫害预警与用药建议</w:t>
            </w:r>
          </w:p>
        </w:tc>
        <w:tc>
          <w:tcPr>
            <w:tcW w:type="dxa" w:w="1658"/>
          </w:tcPr>
          <w:p>
            <w:pPr>
              <w:keepNext/>
              <w:keepLines/>
              <w:spacing w:before="0" w:after="0" w:line="276" w:lineRule="auto"/>
              <w:jc w:val="center"/>
            </w:pPr>
            <w:r/>
            <w:r>
              <w:rPr>
                <w:rFonts w:ascii="宋体" w:hAnsi="宋体" w:eastAsia="宋体"/>
                <w:b w:val="0"/>
                <w:color w:val="111827"/>
                <w:sz w:val="21"/>
              </w:rPr>
              <w:t>12 元/亩·次</w:t>
            </w:r>
          </w:p>
        </w:tc>
      </w:tr>
      <w:tr>
        <w:trPr>
          <w:cantSplit/>
        </w:trPr>
        <w:tc>
          <w:tcPr>
            <w:tcW w:type="dxa" w:w="1658"/>
          </w:tcPr>
          <w:p>
            <w:pPr>
              <w:keepNext/>
              <w:keepLines/>
              <w:spacing w:before="0" w:after="0" w:line="276" w:lineRule="auto"/>
            </w:pPr>
            <w:r/>
            <w:r>
              <w:rPr>
                <w:rFonts w:ascii="宋体" w:hAnsi="宋体" w:eastAsia="宋体"/>
                <w:b w:val="0"/>
                <w:color w:val="111827"/>
                <w:sz w:val="21"/>
              </w:rPr>
              <w:t>精细监测</w:t>
            </w:r>
          </w:p>
        </w:tc>
        <w:tc>
          <w:tcPr>
            <w:tcW w:type="dxa" w:w="1768"/>
          </w:tcPr>
          <w:p>
            <w:pPr>
              <w:keepNext/>
              <w:keepLines/>
              <w:spacing w:before="0" w:after="0" w:line="276" w:lineRule="auto"/>
              <w:jc w:val="center"/>
            </w:pPr>
            <w:r/>
            <w:r>
              <w:rPr>
                <w:rFonts w:ascii="宋体" w:hAnsi="宋体" w:eastAsia="宋体"/>
                <w:b w:val="0"/>
                <w:color w:val="111827"/>
                <w:sz w:val="21"/>
              </w:rPr>
              <w:t>每周 1 次</w:t>
            </w:r>
          </w:p>
        </w:tc>
        <w:tc>
          <w:tcPr>
            <w:tcW w:type="dxa" w:w="3647"/>
          </w:tcPr>
          <w:p>
            <w:pPr>
              <w:keepNext/>
              <w:keepLines/>
              <w:spacing w:before="0" w:after="0" w:line="276" w:lineRule="auto"/>
              <w:jc w:val="center"/>
            </w:pPr>
            <w:r/>
            <w:r>
              <w:rPr>
                <w:rFonts w:ascii="宋体" w:hAnsi="宋体" w:eastAsia="宋体"/>
                <w:b w:val="0"/>
                <w:color w:val="111827"/>
                <w:sz w:val="21"/>
              </w:rPr>
              <w:t>增加处方图与产量预估</w:t>
            </w:r>
          </w:p>
        </w:tc>
        <w:tc>
          <w:tcPr>
            <w:tcW w:type="dxa" w:w="1658"/>
          </w:tcPr>
          <w:p>
            <w:pPr>
              <w:keepNext/>
              <w:keepLines/>
              <w:spacing w:before="0" w:after="0" w:line="276" w:lineRule="auto"/>
              <w:jc w:val="center"/>
            </w:pPr>
            <w:r/>
            <w:r>
              <w:rPr>
                <w:rFonts w:ascii="宋体" w:hAnsi="宋体" w:eastAsia="宋体"/>
                <w:b w:val="0"/>
                <w:color w:val="111827"/>
                <w:sz w:val="21"/>
              </w:rPr>
              <w:t>18 元/亩·次</w:t>
            </w:r>
          </w:p>
        </w:tc>
      </w:tr>
      <w:tr>
        <w:trPr>
          <w:cantSplit/>
        </w:trPr>
        <w:tc>
          <w:tcPr>
            <w:tcW w:type="dxa" w:w="1658"/>
          </w:tcPr>
          <w:p>
            <w:pPr>
              <w:spacing w:before="0" w:after="0" w:line="276" w:lineRule="auto"/>
            </w:pPr>
            <w:r/>
            <w:r>
              <w:rPr>
                <w:rFonts w:ascii="宋体" w:hAnsi="宋体" w:eastAsia="宋体"/>
                <w:b w:val="0"/>
                <w:color w:val="111827"/>
                <w:sz w:val="21"/>
              </w:rPr>
              <w:t>定制服务</w:t>
            </w:r>
          </w:p>
        </w:tc>
        <w:tc>
          <w:tcPr>
            <w:tcW w:type="dxa" w:w="1768"/>
          </w:tcPr>
          <w:p>
            <w:pPr>
              <w:spacing w:before="0" w:after="0" w:line="276" w:lineRule="auto"/>
              <w:jc w:val="center"/>
            </w:pPr>
            <w:r/>
            <w:r>
              <w:rPr>
                <w:rFonts w:ascii="宋体" w:hAnsi="宋体" w:eastAsia="宋体"/>
                <w:b w:val="0"/>
                <w:color w:val="111827"/>
                <w:sz w:val="21"/>
              </w:rPr>
              <w:t>按需</w:t>
            </w:r>
          </w:p>
        </w:tc>
        <w:tc>
          <w:tcPr>
            <w:tcW w:type="dxa" w:w="3647"/>
          </w:tcPr>
          <w:p>
            <w:pPr>
              <w:spacing w:before="0" w:after="0" w:line="276" w:lineRule="auto"/>
              <w:jc w:val="center"/>
            </w:pPr>
            <w:r/>
            <w:r>
              <w:rPr>
                <w:rFonts w:ascii="宋体" w:hAnsi="宋体" w:eastAsia="宋体"/>
                <w:b w:val="0"/>
                <w:color w:val="111827"/>
                <w:sz w:val="21"/>
              </w:rPr>
              <w:t>对接农技专家远程会诊</w:t>
            </w:r>
          </w:p>
        </w:tc>
        <w:tc>
          <w:tcPr>
            <w:tcW w:type="dxa" w:w="1658"/>
          </w:tcPr>
          <w:p>
            <w:pPr>
              <w:spacing w:before="0" w:after="0" w:line="276" w:lineRule="auto"/>
              <w:jc w:val="center"/>
            </w:pPr>
            <w:r/>
            <w:r>
              <w:rPr>
                <w:rFonts w:ascii="宋体" w:hAnsi="宋体" w:eastAsia="宋体"/>
                <w:b w:val="0"/>
                <w:color w:val="111827"/>
                <w:sz w:val="21"/>
              </w:rPr>
              <w:t>议价</w:t>
            </w:r>
          </w:p>
        </w:tc>
      </w:tr>
    </w:tbl>
    <w:p>
      <w:pPr>
        <w:spacing w:before="0" w:after="0" w:line="240" w:lineRule="exact"/>
      </w:pPr>
      <w:r>
        <w:rPr>
          <w:rFonts w:ascii="宋体" w:hAnsi="宋体" w:eastAsia="宋体"/>
          <w:b w:val="0"/>
          <w:color w:val="111827"/>
          <w:sz w:val="16"/>
        </w:rPr>
      </w:r>
    </w:p>
    <w:p>
      <w:pPr>
        <w:spacing w:before="0" w:after="120" w:lineRule="auto" w:line="360"/>
        <w:ind w:firstLine="480"/>
      </w:pPr>
      <w:r>
        <w:rPr>
          <w:rFonts w:ascii="宋体" w:hAnsi="宋体" w:eastAsia="宋体"/>
          <w:b w:val="0"/>
          <w:color w:val="111827"/>
          <w:sz w:val="24"/>
        </w:rPr>
        <w:t>交付物为一份 PDF 简报加一个微信小程序看板，种植户不需要安装任何专业软件。</w:t>
      </w:r>
    </w:p>
    <w:p>
      <w:pPr>
        <w:keepNext/>
        <w:keepLines/>
        <w:spacing w:before="200" w:after="100" w:line="360" w:lineRule="auto"/>
        <w:outlineLvl w:val="1"/>
      </w:pPr>
      <w:r>
        <w:rPr>
          <w:rFonts w:ascii="黑体" w:hAnsi="黑体" w:eastAsia="黑体"/>
          <w:b/>
          <w:color w:val="111827"/>
          <w:sz w:val="25"/>
        </w:rPr>
        <w:t>3.1 交付物设计</w:t>
      </w:r>
    </w:p>
    <w:p>
      <w:pPr>
        <w:spacing w:before="0" w:after="120" w:lineRule="auto" w:line="360"/>
        <w:ind w:firstLine="480"/>
      </w:pPr>
      <w:r>
        <w:rPr>
          <w:rFonts w:ascii="宋体" w:hAnsi="宋体" w:eastAsia="宋体"/>
          <w:b w:val="0"/>
          <w:color w:val="111827"/>
          <w:sz w:val="24"/>
        </w:rPr>
        <w:t>交付物做了两轮简化。第一版是一份 12 页的 PDF 报告，包含 NDVI 分布图、异常地块清单、历史对比曲线。试点反馈是「看不懂，也没时间看」。第二版压到 2 页：第一页只有一张五色地块图（红黄绿表示长势等级），第二页是三行结论加一条行动建议。农户打开就知道哪块地要去看。</w:t>
      </w:r>
    </w:p>
    <w:p>
      <w:pPr>
        <w:spacing w:before="0" w:after="120" w:lineRule="auto" w:line="360"/>
        <w:ind w:firstLine="480"/>
      </w:pPr>
      <w:r>
        <w:rPr>
          <w:rFonts w:ascii="宋体" w:hAnsi="宋体" w:eastAsia="宋体"/>
          <w:b w:val="0"/>
          <w:color w:val="111827"/>
          <w:sz w:val="24"/>
        </w:rPr>
        <w:t>这个改动看着简单，但它决定了服务的复购率。农业服务的用户不是研究员，判断标准不是数据完整度，而是「我明天去地里该干什么」。所以报告的第一句话永远是行动指令，而不是数据摘要。</w:t>
      </w:r>
    </w:p>
    <w:p>
      <w:pPr>
        <w:keepNext/>
        <w:keepLines/>
        <w:spacing w:before="200" w:after="100" w:line="360" w:lineRule="auto"/>
        <w:outlineLvl w:val="1"/>
      </w:pPr>
      <w:r>
        <w:rPr>
          <w:rFonts w:ascii="黑体" w:hAnsi="黑体" w:eastAsia="黑体"/>
          <w:b/>
          <w:color w:val="111827"/>
          <w:sz w:val="25"/>
        </w:rPr>
        <w:t>3.2 作业流程与质量控制</w:t>
      </w:r>
    </w:p>
    <w:p>
      <w:pPr>
        <w:spacing w:before="0" w:after="120" w:lineRule="auto" w:line="360"/>
        <w:ind w:firstLine="480"/>
      </w:pPr>
      <w:r>
        <w:rPr>
          <w:rFonts w:ascii="宋体" w:hAnsi="宋体" w:eastAsia="宋体"/>
          <w:b w:val="0"/>
          <w:color w:val="111827"/>
          <w:sz w:val="24"/>
        </w:rPr>
        <w:t>单次作业分为四个环节：地块圈定、航线规划、影像采集、报告生成。地块圈定由农户在小程序上勾画，系统自动换算面积并报价；航线规划按地形与作物高度自动生成，重叠率固定 75%；采集环节要求光照条件满足太阳高度角大于 30 度，否则顺延；报告生成由模型自动完成，异常地块需人工复核一遍再推送。</w:t>
      </w:r>
    </w:p>
    <w:p>
      <w:pPr>
        <w:spacing w:before="0" w:after="120" w:lineRule="auto" w:line="360"/>
        <w:ind w:firstLine="480"/>
      </w:pPr>
      <w:r>
        <w:rPr>
          <w:rFonts w:ascii="宋体" w:hAnsi="宋体" w:eastAsia="宋体"/>
          <w:b w:val="0"/>
          <w:color w:val="111827"/>
          <w:sz w:val="24"/>
        </w:rPr>
        <w:t>质量控制的关键指标是「可复现性」——同一块地、相邻两天采集，长势等级不应跳变。目前实测的跳变率是 6.3%，主要出现在阴天。团队正在通过引入光照校正来压低这个数字，目标降到 3% 以下。</w:t>
      </w:r>
    </w:p>
    <w:p>
      <w:pPr>
        <w:spacing w:before="0" w:after="120" w:lineRule="auto" w:line="360"/>
        <w:ind w:firstLine="480"/>
      </w:pPr>
      <w:r>
        <w:rPr>
          <w:rFonts w:ascii="宋体" w:hAnsi="宋体" w:eastAsia="宋体"/>
          <w:b w:val="0"/>
          <w:color w:val="111827"/>
          <w:sz w:val="24"/>
        </w:rPr>
        <w:t>把交付拆成六步之后，服务才谈得上「标准化」。每一步都对应一个明确的责任人和一个可计时的耗时——这是判断「一个人能扛多少亩」的基础，也是新飞手培训手册的目录结构（见图 2）。</w:t>
      </w:r>
    </w:p>
    <w:p>
      <w:pPr>
        <w:keepNext/>
        <w:keepLines/>
        <w:spacing w:before="160" w:after="60"/>
        <w:jc w:val="center"/>
      </w:pPr>
      <w:r>
        <w:drawing>
          <wp:inline xmlns:a="http://schemas.openxmlformats.org/drawingml/2006/main" xmlns:pic="http://schemas.openxmlformats.org/drawingml/2006/picture">
            <wp:extent cx="5472000" cy="1824000"/>
            <wp:docPr id="2" name="Picture 2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19_service_flow.png"/>
                    <pic:cNvPicPr/>
                  </pic:nvPicPr>
                  <pic:blipFill>
                    <a:blip r:embed="rId11"/>
                    <a:stretch>
                      <a:fillRect/>
                    </a:stretch>
                  </pic:blipFill>
                  <pic:spPr>
                    <a:xfrm>
                      <a:off x="0" y="0"/>
                      <a:ext cx="5472000" cy="1824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keepLines/>
        <w:spacing w:before="0" w:after="200"/>
        <w:jc w:val="center"/>
      </w:pPr>
      <w:r>
        <w:rPr>
          <w:rFonts w:ascii="宋体" w:hAnsi="宋体" w:eastAsia="宋体"/>
          <w:b w:val="0"/>
          <w:color w:val="6B7280"/>
          <w:sz w:val="21"/>
        </w:rPr>
        <w:t>图 2　服务交付六步链路与单环节耗时</w:t>
      </w:r>
    </w:p>
    <w:p>
      <w:pPr>
        <w:spacing w:before="0" w:after="120" w:lineRule="auto" w:line="360"/>
        <w:ind w:firstLine="480"/>
      </w:pPr>
      <w:r>
        <w:rPr>
          <w:rFonts w:ascii="宋体" w:hAnsi="宋体" w:eastAsia="宋体"/>
          <w:b w:val="0"/>
          <w:color w:val="111827"/>
          <w:sz w:val="24"/>
        </w:rPr>
        <w:t>流程里最容易被低估的是「复购回访」。它看起来不像生产环节，但农业服务是关系生意，一次回访换来的续约，成本远低于拉一个新客户。所以这一环我固定给市场负责人，而不是让飞手顺手做。</w:t>
      </w:r>
    </w:p>
    <w:p>
      <w:pPr>
        <w:keepNext/>
        <w:keepLines/>
        <w:spacing w:before="280" w:after="140" w:line="360" w:lineRule="auto"/>
        <w:outlineLvl w:val="0"/>
      </w:pPr>
      <w:r>
        <w:rPr>
          <w:rFonts w:ascii="黑体" w:hAnsi="黑体" w:eastAsia="黑体"/>
          <w:b/>
          <w:color w:val="111827"/>
          <w:sz w:val="30"/>
        </w:rPr>
        <w:t>四、财务预测</w:t>
      </w:r>
    </w:p>
    <w:p>
      <w:pPr>
        <w:spacing w:before="0" w:after="120" w:lineRule="auto" w:line="360"/>
        <w:ind w:firstLine="480"/>
      </w:pPr>
      <w:r>
        <w:rPr>
          <w:rFonts w:ascii="宋体" w:hAnsi="宋体" w:eastAsia="宋体"/>
          <w:b w:val="0"/>
          <w:color w:val="111827"/>
          <w:sz w:val="24"/>
        </w:rPr>
        <w:t>按已签约客户与意向客户测算，五年营业收入由 48 万元增至 720 万元，第 3 年实现盈亏平衡，第 5 年净利润 282 万元（见图 3）（见表 3）。</w:t>
      </w:r>
    </w:p>
    <w:p>
      <w:pPr>
        <w:keepNext/>
        <w:keepLines/>
        <w:spacing w:before="160" w:after="60"/>
        <w:jc w:val="center"/>
      </w:pPr>
      <w:r>
        <w:drawing>
          <wp:inline xmlns:a="http://schemas.openxmlformats.org/drawingml/2006/main" xmlns:pic="http://schemas.openxmlformats.org/drawingml/2006/picture">
            <wp:extent cx="4630402" cy="2520000"/>
            <wp:docPr id="3" name="Picture 3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10_forecast.png"/>
                    <pic:cNvPicPr/>
                  </pic:nvPicPr>
                  <pic:blipFill>
                    <a:blip r:embed="rId12"/>
                    <a:stretch>
                      <a:fillRect/>
                    </a:stretch>
                  </pic:blipFill>
                  <pic:spPr>
                    <a:xfrm>
                      <a:off x="0" y="0"/>
                      <a:ext cx="4630402" cy="2520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keepLines/>
        <w:spacing w:before="0" w:after="200"/>
        <w:jc w:val="center"/>
      </w:pPr>
      <w:r>
        <w:rPr>
          <w:rFonts w:ascii="宋体" w:hAnsi="宋体" w:eastAsia="宋体"/>
          <w:b w:val="0"/>
          <w:color w:val="6B7280"/>
          <w:sz w:val="21"/>
        </w:rPr>
        <w:t>图 3　五年营收、成本与净利润预测（单位：万元）</w:t>
      </w:r>
    </w:p>
    <w:p>
      <w:pPr>
        <w:keepNext/>
        <w:keepLines/>
        <w:spacing w:before="120" w:after="40" w:line="288" w:lineRule="auto"/>
        <w:jc w:val="center"/>
      </w:pPr>
      <w:r>
        <w:rPr>
          <w:rFonts w:ascii="黑体" w:hAnsi="黑体" w:eastAsia="黑体"/>
          <w:b w:val="0"/>
          <w:color w:val="111827"/>
          <w:sz w:val="21"/>
        </w:rPr>
        <w:t>表 3　关键财务科目的五年预测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  <w:tblLayout w:type="fixed"/>
        <w:tblCellMar>
          <w:top w:w="50" w:type="dxa"/>
          <w:bottom w:w="50" w:type="dxa"/>
          <w:left w:w="100" w:type="dxa"/>
          <w:right w:w="100" w:type="dxa"/>
        </w:tblCellMar>
      </w:tblPr>
      <w:tblGrid>
        <w:gridCol w:w="2527"/>
        <w:gridCol w:w="2068"/>
        <w:gridCol w:w="2068"/>
        <w:gridCol w:w="2068"/>
      </w:tblGrid>
      <w:tr>
        <w:trPr>
          <w:tblHeader/>
          <w:cantSplit/>
        </w:trPr>
        <w:tc>
          <w:tcPr>
            <w:tcW w:type="dxa" w:w="2527"/>
          </w:tcPr>
          <w:p>
            <w:pPr>
              <w:keepNext/>
              <w:keepLines/>
              <w:spacing w:before="0" w:after="0"/>
              <w:jc w:val="center"/>
            </w:pPr>
            <w:r/>
            <w:r>
              <w:rPr>
                <w:rFonts w:ascii="黑体" w:hAnsi="黑体" w:eastAsia="黑体"/>
                <w:b/>
                <w:color w:val="111827"/>
                <w:sz w:val="21"/>
              </w:rPr>
              <w:t>项目</w:t>
            </w:r>
          </w:p>
        </w:tc>
        <w:tc>
          <w:tcPr>
            <w:tcW w:type="dxa" w:w="2068"/>
          </w:tcPr>
          <w:p>
            <w:pPr>
              <w:keepNext/>
              <w:keepLines/>
              <w:spacing w:before="0" w:after="0"/>
              <w:jc w:val="center"/>
            </w:pPr>
            <w:r/>
            <w:r>
              <w:rPr>
                <w:rFonts w:ascii="黑体" w:hAnsi="黑体" w:eastAsia="黑体"/>
                <w:b/>
                <w:color w:val="111827"/>
                <w:sz w:val="21"/>
              </w:rPr>
              <w:t>第 1 年</w:t>
            </w:r>
          </w:p>
        </w:tc>
        <w:tc>
          <w:tcPr>
            <w:tcW w:type="dxa" w:w="2068"/>
          </w:tcPr>
          <w:p>
            <w:pPr>
              <w:keepNext/>
              <w:keepLines/>
              <w:spacing w:before="0" w:after="0"/>
              <w:jc w:val="center"/>
            </w:pPr>
            <w:r/>
            <w:r>
              <w:rPr>
                <w:rFonts w:ascii="黑体" w:hAnsi="黑体" w:eastAsia="黑体"/>
                <w:b/>
                <w:color w:val="111827"/>
                <w:sz w:val="21"/>
              </w:rPr>
              <w:t>第 3 年</w:t>
            </w:r>
          </w:p>
        </w:tc>
        <w:tc>
          <w:tcPr>
            <w:tcW w:type="dxa" w:w="2068"/>
          </w:tcPr>
          <w:p>
            <w:pPr>
              <w:keepNext/>
              <w:keepLines/>
              <w:spacing w:before="0" w:after="0"/>
              <w:jc w:val="center"/>
            </w:pPr>
            <w:r/>
            <w:r>
              <w:rPr>
                <w:rFonts w:ascii="黑体" w:hAnsi="黑体" w:eastAsia="黑体"/>
                <w:b/>
                <w:color w:val="111827"/>
                <w:sz w:val="21"/>
              </w:rPr>
              <w:t>第 5 年</w:t>
            </w:r>
          </w:p>
        </w:tc>
      </w:tr>
      <w:tr>
        <w:trPr>
          <w:cantSplit/>
        </w:trPr>
        <w:tc>
          <w:tcPr>
            <w:tcW w:type="dxa" w:w="2527"/>
          </w:tcPr>
          <w:p>
            <w:pPr>
              <w:keepNext/>
              <w:keepLines/>
              <w:spacing w:before="0" w:after="0" w:line="276" w:lineRule="auto"/>
            </w:pPr>
            <w:r/>
            <w:r>
              <w:rPr>
                <w:rFonts w:ascii="宋体" w:hAnsi="宋体" w:eastAsia="宋体"/>
                <w:b w:val="0"/>
                <w:color w:val="111827"/>
                <w:sz w:val="21"/>
              </w:rPr>
              <w:t>营业收入</w:t>
            </w:r>
          </w:p>
        </w:tc>
        <w:tc>
          <w:tcPr>
            <w:tcW w:type="dxa" w:w="2068"/>
          </w:tcPr>
          <w:p>
            <w:pPr>
              <w:keepNext/>
              <w:keepLines/>
              <w:spacing w:before="0" w:after="0" w:line="276" w:lineRule="auto"/>
              <w:jc w:val="center"/>
            </w:pPr>
            <w:r/>
            <w:r>
              <w:rPr>
                <w:rFonts w:ascii="宋体" w:hAnsi="宋体" w:eastAsia="宋体"/>
                <w:b w:val="0"/>
                <w:color w:val="111827"/>
                <w:sz w:val="21"/>
              </w:rPr>
              <w:t>48</w:t>
            </w:r>
          </w:p>
        </w:tc>
        <w:tc>
          <w:tcPr>
            <w:tcW w:type="dxa" w:w="2068"/>
          </w:tcPr>
          <w:p>
            <w:pPr>
              <w:keepNext/>
              <w:keepLines/>
              <w:spacing w:before="0" w:after="0" w:line="276" w:lineRule="auto"/>
              <w:jc w:val="center"/>
            </w:pPr>
            <w:r/>
            <w:r>
              <w:rPr>
                <w:rFonts w:ascii="宋体" w:hAnsi="宋体" w:eastAsia="宋体"/>
                <w:b w:val="0"/>
                <w:color w:val="111827"/>
                <w:sz w:val="21"/>
              </w:rPr>
              <w:t>268</w:t>
            </w:r>
          </w:p>
        </w:tc>
        <w:tc>
          <w:tcPr>
            <w:tcW w:type="dxa" w:w="2068"/>
          </w:tcPr>
          <w:p>
            <w:pPr>
              <w:keepNext/>
              <w:keepLines/>
              <w:spacing w:before="0" w:after="0" w:line="276" w:lineRule="auto"/>
              <w:jc w:val="center"/>
            </w:pPr>
            <w:r/>
            <w:r>
              <w:rPr>
                <w:rFonts w:ascii="宋体" w:hAnsi="宋体" w:eastAsia="宋体"/>
                <w:b w:val="0"/>
                <w:color w:val="111827"/>
                <w:sz w:val="21"/>
              </w:rPr>
              <w:t>720</w:t>
            </w:r>
          </w:p>
        </w:tc>
      </w:tr>
      <w:tr>
        <w:trPr>
          <w:cantSplit/>
        </w:trPr>
        <w:tc>
          <w:tcPr>
            <w:tcW w:type="dxa" w:w="2527"/>
          </w:tcPr>
          <w:p>
            <w:pPr>
              <w:keepNext/>
              <w:keepLines/>
              <w:spacing w:before="0" w:after="0" w:line="276" w:lineRule="auto"/>
            </w:pPr>
            <w:r/>
            <w:r>
              <w:rPr>
                <w:rFonts w:ascii="宋体" w:hAnsi="宋体" w:eastAsia="宋体"/>
                <w:b w:val="0"/>
                <w:color w:val="111827"/>
                <w:sz w:val="21"/>
              </w:rPr>
              <w:t>营业成本</w:t>
            </w:r>
          </w:p>
        </w:tc>
        <w:tc>
          <w:tcPr>
            <w:tcW w:type="dxa" w:w="2068"/>
          </w:tcPr>
          <w:p>
            <w:pPr>
              <w:keepNext/>
              <w:keepLines/>
              <w:spacing w:before="0" w:after="0" w:line="276" w:lineRule="auto"/>
              <w:jc w:val="center"/>
            </w:pPr>
            <w:r/>
            <w:r>
              <w:rPr>
                <w:rFonts w:ascii="宋体" w:hAnsi="宋体" w:eastAsia="宋体"/>
                <w:b w:val="0"/>
                <w:color w:val="111827"/>
                <w:sz w:val="21"/>
              </w:rPr>
              <w:t>62</w:t>
            </w:r>
          </w:p>
        </w:tc>
        <w:tc>
          <w:tcPr>
            <w:tcW w:type="dxa" w:w="2068"/>
          </w:tcPr>
          <w:p>
            <w:pPr>
              <w:keepNext/>
              <w:keepLines/>
              <w:spacing w:before="0" w:after="0" w:line="276" w:lineRule="auto"/>
              <w:jc w:val="center"/>
            </w:pPr>
            <w:r/>
            <w:r>
              <w:rPr>
                <w:rFonts w:ascii="宋体" w:hAnsi="宋体" w:eastAsia="宋体"/>
                <w:b w:val="0"/>
                <w:color w:val="111827"/>
                <w:sz w:val="21"/>
              </w:rPr>
              <w:t>196</w:t>
            </w:r>
          </w:p>
        </w:tc>
        <w:tc>
          <w:tcPr>
            <w:tcW w:type="dxa" w:w="2068"/>
          </w:tcPr>
          <w:p>
            <w:pPr>
              <w:keepNext/>
              <w:keepLines/>
              <w:spacing w:before="0" w:after="0" w:line="276" w:lineRule="auto"/>
              <w:jc w:val="center"/>
            </w:pPr>
            <w:r/>
            <w:r>
              <w:rPr>
                <w:rFonts w:ascii="宋体" w:hAnsi="宋体" w:eastAsia="宋体"/>
                <w:b w:val="0"/>
                <w:color w:val="111827"/>
                <w:sz w:val="21"/>
              </w:rPr>
              <w:t>438</w:t>
            </w:r>
          </w:p>
        </w:tc>
      </w:tr>
      <w:tr>
        <w:trPr>
          <w:cantSplit/>
        </w:trPr>
        <w:tc>
          <w:tcPr>
            <w:tcW w:type="dxa" w:w="2527"/>
          </w:tcPr>
          <w:p>
            <w:pPr>
              <w:keepNext/>
              <w:keepLines/>
              <w:spacing w:before="0" w:after="0" w:line="276" w:lineRule="auto"/>
            </w:pPr>
            <w:r/>
            <w:r>
              <w:rPr>
                <w:rFonts w:ascii="宋体" w:hAnsi="宋体" w:eastAsia="宋体"/>
                <w:b w:val="0"/>
                <w:color w:val="111827"/>
                <w:sz w:val="21"/>
              </w:rPr>
              <w:t>净利润</w:t>
            </w:r>
          </w:p>
        </w:tc>
        <w:tc>
          <w:tcPr>
            <w:tcW w:type="dxa" w:w="2068"/>
          </w:tcPr>
          <w:p>
            <w:pPr>
              <w:keepNext/>
              <w:keepLines/>
              <w:spacing w:before="0" w:after="0" w:line="276" w:lineRule="auto"/>
              <w:jc w:val="center"/>
            </w:pPr>
            <w:r/>
            <w:r>
              <w:rPr>
                <w:rFonts w:ascii="宋体" w:hAnsi="宋体" w:eastAsia="宋体"/>
                <w:b w:val="0"/>
                <w:color w:val="111827"/>
                <w:sz w:val="21"/>
              </w:rPr>
              <w:t>-14</w:t>
            </w:r>
          </w:p>
        </w:tc>
        <w:tc>
          <w:tcPr>
            <w:tcW w:type="dxa" w:w="2068"/>
          </w:tcPr>
          <w:p>
            <w:pPr>
              <w:keepNext/>
              <w:keepLines/>
              <w:spacing w:before="0" w:after="0" w:line="276" w:lineRule="auto"/>
              <w:jc w:val="center"/>
            </w:pPr>
            <w:r/>
            <w:r>
              <w:rPr>
                <w:rFonts w:ascii="宋体" w:hAnsi="宋体" w:eastAsia="宋体"/>
                <w:b w:val="0"/>
                <w:color w:val="111827"/>
                <w:sz w:val="21"/>
              </w:rPr>
              <w:t>72</w:t>
            </w:r>
          </w:p>
        </w:tc>
        <w:tc>
          <w:tcPr>
            <w:tcW w:type="dxa" w:w="2068"/>
          </w:tcPr>
          <w:p>
            <w:pPr>
              <w:keepNext/>
              <w:keepLines/>
              <w:spacing w:before="0" w:after="0" w:line="276" w:lineRule="auto"/>
              <w:jc w:val="center"/>
            </w:pPr>
            <w:r/>
            <w:r>
              <w:rPr>
                <w:rFonts w:ascii="宋体" w:hAnsi="宋体" w:eastAsia="宋体"/>
                <w:b w:val="0"/>
                <w:color w:val="111827"/>
                <w:sz w:val="21"/>
              </w:rPr>
              <w:t>282</w:t>
            </w:r>
          </w:p>
        </w:tc>
      </w:tr>
      <w:tr>
        <w:trPr>
          <w:cantSplit/>
        </w:trPr>
        <w:tc>
          <w:tcPr>
            <w:tcW w:type="dxa" w:w="2527"/>
          </w:tcPr>
          <w:p>
            <w:pPr>
              <w:spacing w:before="0" w:after="0" w:line="276" w:lineRule="auto"/>
            </w:pPr>
            <w:r/>
            <w:r>
              <w:rPr>
                <w:rFonts w:ascii="宋体" w:hAnsi="宋体" w:eastAsia="宋体"/>
                <w:b w:val="0"/>
                <w:color w:val="111827"/>
                <w:sz w:val="21"/>
              </w:rPr>
              <w:t>毛利率</w:t>
            </w:r>
          </w:p>
        </w:tc>
        <w:tc>
          <w:tcPr>
            <w:tcW w:type="dxa" w:w="2068"/>
          </w:tcPr>
          <w:p>
            <w:pPr>
              <w:spacing w:before="0" w:after="0" w:line="276" w:lineRule="auto"/>
              <w:jc w:val="center"/>
            </w:pPr>
            <w:r/>
            <w:r>
              <w:rPr>
                <w:rFonts w:ascii="宋体" w:hAnsi="宋体" w:eastAsia="宋体"/>
                <w:b w:val="0"/>
                <w:color w:val="111827"/>
                <w:sz w:val="21"/>
              </w:rPr>
              <w:t>—</w:t>
            </w:r>
          </w:p>
        </w:tc>
        <w:tc>
          <w:tcPr>
            <w:tcW w:type="dxa" w:w="2068"/>
          </w:tcPr>
          <w:p>
            <w:pPr>
              <w:spacing w:before="0" w:after="0" w:line="276" w:lineRule="auto"/>
              <w:jc w:val="center"/>
            </w:pPr>
            <w:r/>
            <w:r>
              <w:rPr>
                <w:rFonts w:ascii="宋体" w:hAnsi="宋体" w:eastAsia="宋体"/>
                <w:b w:val="0"/>
                <w:color w:val="111827"/>
                <w:sz w:val="21"/>
              </w:rPr>
              <w:t>26.9%</w:t>
            </w:r>
          </w:p>
        </w:tc>
        <w:tc>
          <w:tcPr>
            <w:tcW w:type="dxa" w:w="2068"/>
          </w:tcPr>
          <w:p>
            <w:pPr>
              <w:spacing w:before="0" w:after="0" w:line="276" w:lineRule="auto"/>
              <w:jc w:val="center"/>
            </w:pPr>
            <w:r/>
            <w:r>
              <w:rPr>
                <w:rFonts w:ascii="宋体" w:hAnsi="宋体" w:eastAsia="宋体"/>
                <w:b w:val="0"/>
                <w:color w:val="111827"/>
                <w:sz w:val="21"/>
              </w:rPr>
              <w:t>39.2%</w:t>
            </w:r>
          </w:p>
        </w:tc>
      </w:tr>
    </w:tbl>
    <w:p>
      <w:pPr>
        <w:spacing w:before="0" w:after="0" w:line="240" w:lineRule="exact"/>
      </w:pPr>
      <w:r>
        <w:rPr>
          <w:rFonts w:ascii="宋体" w:hAnsi="宋体" w:eastAsia="宋体"/>
          <w:b w:val="0"/>
          <w:color w:val="111827"/>
          <w:sz w:val="16"/>
        </w:rPr>
      </w:r>
    </w:p>
    <w:p>
      <w:pPr>
        <w:spacing w:before="0" w:after="120" w:lineRule="auto" w:line="360"/>
        <w:ind w:firstLine="480"/>
      </w:pPr>
      <w:r>
        <w:rPr>
          <w:rFonts w:ascii="宋体" w:hAnsi="宋体" w:eastAsia="宋体"/>
          <w:b w:val="0"/>
          <w:color w:val="111827"/>
          <w:sz w:val="24"/>
        </w:rPr>
        <w:t>首年亏损 14 万元，主要来自设备采购与市场推广的一次性投入。第 2 年接近盈亏平衡，第 3 年转正。这个节奏比很多农业服务项目慢，原因是无人机作业的季节性极强——一个生长季只有 6—8 个工作窗口，设备利用率上不去，折旧摊不薄。我们的应对是把设备在淡季租给林业与水利部门做巡检，把年利用率从 35% 提到 58%。</w:t>
      </w:r>
    </w:p>
    <w:p>
      <w:pPr>
        <w:keepNext/>
        <w:keepLines/>
        <w:spacing w:before="200" w:after="100" w:line="360" w:lineRule="auto"/>
        <w:outlineLvl w:val="1"/>
      </w:pPr>
      <w:r>
        <w:rPr>
          <w:rFonts w:ascii="黑体" w:hAnsi="黑体" w:eastAsia="黑体"/>
          <w:b/>
          <w:color w:val="111827"/>
          <w:sz w:val="25"/>
        </w:rPr>
        <w:t>4.1 敏感性分析</w:t>
      </w:r>
    </w:p>
    <w:p>
      <w:pPr>
        <w:spacing w:before="0" w:after="120" w:lineRule="auto" w:line="360"/>
        <w:ind w:firstLine="480"/>
      </w:pPr>
      <w:r>
        <w:rPr>
          <w:rFonts w:ascii="宋体" w:hAnsi="宋体" w:eastAsia="宋体"/>
          <w:b w:val="0"/>
          <w:color w:val="111827"/>
          <w:sz w:val="24"/>
        </w:rPr>
        <w:t>三个变量对结果影响最大：作业价格、设备利用率、飞手人效。分别做 ±20% 的单因素扰动，结果显示设备利用率的弹性最高——利用率从 35% 提到 58% 能让盈亏平衡点提前 11 个月，而价格上调 20% 只提前 4 个月（见表 4）。</w:t>
      </w:r>
    </w:p>
    <w:p>
      <w:pPr>
        <w:keepNext/>
        <w:keepLines/>
        <w:spacing w:before="120" w:after="40" w:line="288" w:lineRule="auto"/>
        <w:jc w:val="center"/>
      </w:pPr>
      <w:r>
        <w:rPr>
          <w:rFonts w:ascii="黑体" w:hAnsi="黑体" w:eastAsia="黑体"/>
          <w:b w:val="0"/>
          <w:color w:val="111827"/>
          <w:sz w:val="21"/>
        </w:rPr>
        <w:t>表 4　关键变量波动对盈亏平衡点与净利的影响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  <w:tblLayout w:type="fixed"/>
        <w:tblCellMar>
          <w:top w:w="50" w:type="dxa"/>
          <w:bottom w:w="50" w:type="dxa"/>
          <w:left w:w="100" w:type="dxa"/>
          <w:right w:w="100" w:type="dxa"/>
        </w:tblCellMar>
      </w:tblPr>
      <w:tblGrid>
        <w:gridCol w:w="2095"/>
        <w:gridCol w:w="1863"/>
        <w:gridCol w:w="2328"/>
        <w:gridCol w:w="2445"/>
      </w:tblGrid>
      <w:tr>
        <w:trPr>
          <w:tblHeader/>
          <w:cantSplit/>
        </w:trPr>
        <w:tc>
          <w:tcPr>
            <w:tcW w:type="dxa" w:w="2095"/>
          </w:tcPr>
          <w:p>
            <w:pPr>
              <w:keepNext/>
              <w:keepLines/>
              <w:spacing w:before="0" w:after="0"/>
              <w:jc w:val="center"/>
            </w:pPr>
            <w:r/>
            <w:r>
              <w:rPr>
                <w:rFonts w:ascii="黑体" w:hAnsi="黑体" w:eastAsia="黑体"/>
                <w:b/>
                <w:color w:val="111827"/>
                <w:sz w:val="21"/>
              </w:rPr>
              <w:t>变量</w:t>
            </w:r>
          </w:p>
        </w:tc>
        <w:tc>
          <w:tcPr>
            <w:tcW w:type="dxa" w:w="1863"/>
          </w:tcPr>
          <w:p>
            <w:pPr>
              <w:keepNext/>
              <w:keepLines/>
              <w:spacing w:before="0" w:after="0"/>
              <w:jc w:val="center"/>
            </w:pPr>
            <w:r/>
            <w:r>
              <w:rPr>
                <w:rFonts w:ascii="黑体" w:hAnsi="黑体" w:eastAsia="黑体"/>
                <w:b/>
                <w:color w:val="111827"/>
                <w:sz w:val="21"/>
              </w:rPr>
              <w:t>变动幅度</w:t>
            </w:r>
          </w:p>
        </w:tc>
        <w:tc>
          <w:tcPr>
            <w:tcW w:type="dxa" w:w="2328"/>
          </w:tcPr>
          <w:p>
            <w:pPr>
              <w:keepNext/>
              <w:keepLines/>
              <w:spacing w:before="0" w:after="0"/>
              <w:jc w:val="center"/>
            </w:pPr>
            <w:r/>
            <w:r>
              <w:rPr>
                <w:rFonts w:ascii="黑体" w:hAnsi="黑体" w:eastAsia="黑体"/>
                <w:b/>
                <w:color w:val="111827"/>
                <w:sz w:val="21"/>
              </w:rPr>
              <w:t>盈亏平衡时点</w:t>
            </w:r>
          </w:p>
        </w:tc>
        <w:tc>
          <w:tcPr>
            <w:tcW w:type="dxa" w:w="2445"/>
          </w:tcPr>
          <w:p>
            <w:pPr>
              <w:keepNext/>
              <w:keepLines/>
              <w:spacing w:before="0" w:after="0"/>
              <w:jc w:val="center"/>
            </w:pPr>
            <w:r/>
            <w:r>
              <w:rPr>
                <w:rFonts w:ascii="黑体" w:hAnsi="黑体" w:eastAsia="黑体"/>
                <w:b/>
                <w:color w:val="111827"/>
                <w:sz w:val="21"/>
              </w:rPr>
              <w:t>净利影响</w:t>
            </w:r>
          </w:p>
        </w:tc>
      </w:tr>
      <w:tr>
        <w:trPr>
          <w:cantSplit/>
        </w:trPr>
        <w:tc>
          <w:tcPr>
            <w:tcW w:type="dxa" w:w="2095"/>
          </w:tcPr>
          <w:p>
            <w:pPr>
              <w:keepNext/>
              <w:keepLines/>
              <w:spacing w:before="0" w:after="0" w:line="276" w:lineRule="auto"/>
            </w:pPr>
            <w:r/>
            <w:r>
              <w:rPr>
                <w:rFonts w:ascii="宋体" w:hAnsi="宋体" w:eastAsia="宋体"/>
                <w:b w:val="0"/>
                <w:color w:val="111827"/>
                <w:sz w:val="21"/>
              </w:rPr>
              <w:t>作业价格</w:t>
            </w:r>
          </w:p>
        </w:tc>
        <w:tc>
          <w:tcPr>
            <w:tcW w:type="dxa" w:w="1863"/>
          </w:tcPr>
          <w:p>
            <w:pPr>
              <w:keepNext/>
              <w:keepLines/>
              <w:spacing w:before="0" w:after="0" w:line="276" w:lineRule="auto"/>
              <w:jc w:val="center"/>
            </w:pPr>
            <w:r/>
            <w:r>
              <w:rPr>
                <w:rFonts w:ascii="宋体" w:hAnsi="宋体" w:eastAsia="宋体"/>
                <w:b w:val="0"/>
                <w:color w:val="111827"/>
                <w:sz w:val="21"/>
              </w:rPr>
              <w:t>+20%</w:t>
            </w:r>
          </w:p>
        </w:tc>
        <w:tc>
          <w:tcPr>
            <w:tcW w:type="dxa" w:w="2328"/>
          </w:tcPr>
          <w:p>
            <w:pPr>
              <w:keepNext/>
              <w:keepLines/>
              <w:spacing w:before="0" w:after="0" w:line="276" w:lineRule="auto"/>
              <w:jc w:val="center"/>
            </w:pPr>
            <w:r/>
            <w:r>
              <w:rPr>
                <w:rFonts w:ascii="宋体" w:hAnsi="宋体" w:eastAsia="宋体"/>
                <w:b w:val="0"/>
                <w:color w:val="111827"/>
                <w:sz w:val="21"/>
              </w:rPr>
              <w:t>提前 4 个月</w:t>
            </w:r>
          </w:p>
        </w:tc>
        <w:tc>
          <w:tcPr>
            <w:tcW w:type="dxa" w:w="2445"/>
          </w:tcPr>
          <w:p>
            <w:pPr>
              <w:keepNext/>
              <w:keepLines/>
              <w:spacing w:before="0" w:after="0" w:line="276" w:lineRule="auto"/>
              <w:jc w:val="center"/>
            </w:pPr>
            <w:r/>
            <w:r>
              <w:rPr>
                <w:rFonts w:ascii="宋体" w:hAnsi="宋体" w:eastAsia="宋体"/>
                <w:b w:val="0"/>
                <w:color w:val="111827"/>
                <w:sz w:val="21"/>
              </w:rPr>
              <w:t>+31 万元/年</w:t>
            </w:r>
          </w:p>
        </w:tc>
      </w:tr>
      <w:tr>
        <w:trPr>
          <w:cantSplit/>
        </w:trPr>
        <w:tc>
          <w:tcPr>
            <w:tcW w:type="dxa" w:w="2095"/>
          </w:tcPr>
          <w:p>
            <w:pPr>
              <w:keepNext/>
              <w:keepLines/>
              <w:spacing w:before="0" w:after="0" w:line="276" w:lineRule="auto"/>
            </w:pPr>
            <w:r/>
            <w:r>
              <w:rPr>
                <w:rFonts w:ascii="宋体" w:hAnsi="宋体" w:eastAsia="宋体"/>
                <w:b w:val="0"/>
                <w:color w:val="111827"/>
                <w:sz w:val="21"/>
              </w:rPr>
              <w:t>作业价格</w:t>
            </w:r>
          </w:p>
        </w:tc>
        <w:tc>
          <w:tcPr>
            <w:tcW w:type="dxa" w:w="1863"/>
          </w:tcPr>
          <w:p>
            <w:pPr>
              <w:keepNext/>
              <w:keepLines/>
              <w:spacing w:before="0" w:after="0" w:line="276" w:lineRule="auto"/>
              <w:jc w:val="center"/>
            </w:pPr>
            <w:r/>
            <w:r>
              <w:rPr>
                <w:rFonts w:ascii="宋体" w:hAnsi="宋体" w:eastAsia="宋体"/>
                <w:b w:val="0"/>
                <w:color w:val="111827"/>
                <w:sz w:val="21"/>
              </w:rPr>
              <w:t>-20%</w:t>
            </w:r>
          </w:p>
        </w:tc>
        <w:tc>
          <w:tcPr>
            <w:tcW w:type="dxa" w:w="2328"/>
          </w:tcPr>
          <w:p>
            <w:pPr>
              <w:keepNext/>
              <w:keepLines/>
              <w:spacing w:before="0" w:after="0" w:line="276" w:lineRule="auto"/>
              <w:jc w:val="center"/>
            </w:pPr>
            <w:r/>
            <w:r>
              <w:rPr>
                <w:rFonts w:ascii="宋体" w:hAnsi="宋体" w:eastAsia="宋体"/>
                <w:b w:val="0"/>
                <w:color w:val="111827"/>
                <w:sz w:val="21"/>
              </w:rPr>
              <w:t>推迟 7 个月</w:t>
            </w:r>
          </w:p>
        </w:tc>
        <w:tc>
          <w:tcPr>
            <w:tcW w:type="dxa" w:w="2445"/>
          </w:tcPr>
          <w:p>
            <w:pPr>
              <w:keepNext/>
              <w:keepLines/>
              <w:spacing w:before="0" w:after="0" w:line="276" w:lineRule="auto"/>
              <w:jc w:val="center"/>
            </w:pPr>
            <w:r/>
            <w:r>
              <w:rPr>
                <w:rFonts w:ascii="宋体" w:hAnsi="宋体" w:eastAsia="宋体"/>
                <w:b w:val="0"/>
                <w:color w:val="111827"/>
                <w:sz w:val="21"/>
              </w:rPr>
              <w:t>-38 万元/年</w:t>
            </w:r>
          </w:p>
        </w:tc>
      </w:tr>
      <w:tr>
        <w:trPr>
          <w:cantSplit/>
        </w:trPr>
        <w:tc>
          <w:tcPr>
            <w:tcW w:type="dxa" w:w="2095"/>
          </w:tcPr>
          <w:p>
            <w:pPr>
              <w:keepNext/>
              <w:keepLines/>
              <w:spacing w:before="0" w:after="0" w:line="276" w:lineRule="auto"/>
            </w:pPr>
            <w:r/>
            <w:r>
              <w:rPr>
                <w:rFonts w:ascii="宋体" w:hAnsi="宋体" w:eastAsia="宋体"/>
                <w:b w:val="0"/>
                <w:color w:val="111827"/>
                <w:sz w:val="21"/>
              </w:rPr>
              <w:t>设备利用率</w:t>
            </w:r>
          </w:p>
        </w:tc>
        <w:tc>
          <w:tcPr>
            <w:tcW w:type="dxa" w:w="1863"/>
          </w:tcPr>
          <w:p>
            <w:pPr>
              <w:keepNext/>
              <w:keepLines/>
              <w:spacing w:before="0" w:after="0" w:line="276" w:lineRule="auto"/>
              <w:jc w:val="center"/>
            </w:pPr>
            <w:r/>
            <w:r>
              <w:rPr>
                <w:rFonts w:ascii="宋体" w:hAnsi="宋体" w:eastAsia="宋体"/>
                <w:b w:val="0"/>
                <w:color w:val="111827"/>
                <w:sz w:val="21"/>
              </w:rPr>
              <w:t>+20%</w:t>
            </w:r>
          </w:p>
        </w:tc>
        <w:tc>
          <w:tcPr>
            <w:tcW w:type="dxa" w:w="2328"/>
          </w:tcPr>
          <w:p>
            <w:pPr>
              <w:keepNext/>
              <w:keepLines/>
              <w:spacing w:before="0" w:after="0" w:line="276" w:lineRule="auto"/>
              <w:jc w:val="center"/>
            </w:pPr>
            <w:r/>
            <w:r>
              <w:rPr>
                <w:rFonts w:ascii="宋体" w:hAnsi="宋体" w:eastAsia="宋体"/>
                <w:b w:val="0"/>
                <w:color w:val="111827"/>
                <w:sz w:val="21"/>
              </w:rPr>
              <w:t>提前 11 个月</w:t>
            </w:r>
          </w:p>
        </w:tc>
        <w:tc>
          <w:tcPr>
            <w:tcW w:type="dxa" w:w="2445"/>
          </w:tcPr>
          <w:p>
            <w:pPr>
              <w:keepNext/>
              <w:keepLines/>
              <w:spacing w:before="0" w:after="0" w:line="276" w:lineRule="auto"/>
              <w:jc w:val="center"/>
            </w:pPr>
            <w:r/>
            <w:r>
              <w:rPr>
                <w:rFonts w:ascii="宋体" w:hAnsi="宋体" w:eastAsia="宋体"/>
                <w:b w:val="0"/>
                <w:color w:val="111827"/>
                <w:sz w:val="21"/>
              </w:rPr>
              <w:t>+46 万元/年</w:t>
            </w:r>
          </w:p>
        </w:tc>
      </w:tr>
      <w:tr>
        <w:trPr>
          <w:cantSplit/>
        </w:trPr>
        <w:tc>
          <w:tcPr>
            <w:tcW w:type="dxa" w:w="2095"/>
          </w:tcPr>
          <w:p>
            <w:pPr>
              <w:spacing w:before="0" w:after="0" w:line="276" w:lineRule="auto"/>
            </w:pPr>
            <w:r/>
            <w:r>
              <w:rPr>
                <w:rFonts w:ascii="宋体" w:hAnsi="宋体" w:eastAsia="宋体"/>
                <w:b w:val="0"/>
                <w:color w:val="111827"/>
                <w:sz w:val="21"/>
              </w:rPr>
              <w:t>飞手人效</w:t>
            </w:r>
          </w:p>
        </w:tc>
        <w:tc>
          <w:tcPr>
            <w:tcW w:type="dxa" w:w="1863"/>
          </w:tcPr>
          <w:p>
            <w:pPr>
              <w:spacing w:before="0" w:after="0" w:line="276" w:lineRule="auto"/>
              <w:jc w:val="center"/>
            </w:pPr>
            <w:r/>
            <w:r>
              <w:rPr>
                <w:rFonts w:ascii="宋体" w:hAnsi="宋体" w:eastAsia="宋体"/>
                <w:b w:val="0"/>
                <w:color w:val="111827"/>
                <w:sz w:val="21"/>
              </w:rPr>
              <w:t>+20%</w:t>
            </w:r>
          </w:p>
        </w:tc>
        <w:tc>
          <w:tcPr>
            <w:tcW w:type="dxa" w:w="2328"/>
          </w:tcPr>
          <w:p>
            <w:pPr>
              <w:spacing w:before="0" w:after="0" w:line="276" w:lineRule="auto"/>
              <w:jc w:val="center"/>
            </w:pPr>
            <w:r/>
            <w:r>
              <w:rPr>
                <w:rFonts w:ascii="宋体" w:hAnsi="宋体" w:eastAsia="宋体"/>
                <w:b w:val="0"/>
                <w:color w:val="111827"/>
                <w:sz w:val="21"/>
              </w:rPr>
              <w:t>提前 8 个月</w:t>
            </w:r>
          </w:p>
        </w:tc>
        <w:tc>
          <w:tcPr>
            <w:tcW w:type="dxa" w:w="2445"/>
          </w:tcPr>
          <w:p>
            <w:pPr>
              <w:spacing w:before="0" w:after="0" w:line="276" w:lineRule="auto"/>
              <w:jc w:val="center"/>
            </w:pPr>
            <w:r/>
            <w:r>
              <w:rPr>
                <w:rFonts w:ascii="宋体" w:hAnsi="宋体" w:eastAsia="宋体"/>
                <w:b w:val="0"/>
                <w:color w:val="111827"/>
                <w:sz w:val="21"/>
              </w:rPr>
              <w:t>+35 万元/年</w:t>
            </w:r>
          </w:p>
        </w:tc>
      </w:tr>
    </w:tbl>
    <w:p>
      <w:pPr>
        <w:spacing w:before="0" w:after="0" w:line="240" w:lineRule="exact"/>
      </w:pPr>
      <w:r>
        <w:rPr>
          <w:rFonts w:ascii="宋体" w:hAnsi="宋体" w:eastAsia="宋体"/>
          <w:b w:val="0"/>
          <w:color w:val="111827"/>
          <w:sz w:val="16"/>
        </w:rPr>
      </w:r>
    </w:p>
    <w:p>
      <w:pPr>
        <w:spacing w:before="0" w:after="120" w:lineRule="auto" w:line="360"/>
        <w:ind w:firstLine="480"/>
      </w:pPr>
      <w:r>
        <w:rPr>
          <w:rFonts w:ascii="宋体" w:hAnsi="宋体" w:eastAsia="宋体"/>
          <w:b w:val="0"/>
          <w:color w:val="111827"/>
          <w:sz w:val="24"/>
        </w:rPr>
        <w:t>这个结论直接影响了运营策略：与其花力气涨价，不如想办法提高设备利用率。具体做法是淡季承接林业普查与水利巡检，把无人机的年使用天数从 120 天提到 200 天。这也是训练项目里「用数据做决策」的一次真实演练。</w:t>
      </w:r>
    </w:p>
    <w:p>
      <w:pPr>
        <w:spacing w:before="0" w:after="120" w:lineRule="auto" w:line="360"/>
        <w:ind w:firstLine="480"/>
      </w:pPr>
      <w:r>
        <w:rPr>
          <w:rFonts w:ascii="宋体" w:hAnsi="宋体" w:eastAsia="宋体"/>
          <w:b w:val="0"/>
          <w:color w:val="111827"/>
          <w:sz w:val="24"/>
        </w:rPr>
        <w:t>单亩模型是整个财务预测的地基。8 元的服务价格要覆盖飞手、设备、数据处理与管理四块成本，最后剩下 3.6 元、毛利率 45%——这个数字决定了多大的服务面积才能养住一个县级服务站（见图 4）。</w:t>
      </w:r>
    </w:p>
    <w:p>
      <w:pPr>
        <w:keepNext/>
        <w:keepLines/>
        <w:spacing w:before="160" w:after="60"/>
        <w:jc w:val="center"/>
      </w:pPr>
      <w:r>
        <w:drawing>
          <wp:inline xmlns:a="http://schemas.openxmlformats.org/drawingml/2006/main" xmlns:pic="http://schemas.openxmlformats.org/drawingml/2006/picture">
            <wp:extent cx="5087981" cy="2520000"/>
            <wp:docPr id="4" name="Picture 4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18_unit_econ.png"/>
                    <pic:cNvPicPr/>
                  </pic:nvPicPr>
                  <pic:blipFill>
                    <a:blip r:embed="rId13"/>
                    <a:stretch>
                      <a:fillRect/>
                    </a:stretch>
                  </pic:blipFill>
                  <pic:spPr>
                    <a:xfrm>
                      <a:off x="0" y="0"/>
                      <a:ext cx="5087981" cy="2520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keepLines/>
        <w:spacing w:before="0" w:after="200"/>
        <w:jc w:val="center"/>
      </w:pPr>
      <w:r>
        <w:rPr>
          <w:rFonts w:ascii="宋体" w:hAnsi="宋体" w:eastAsia="宋体"/>
          <w:b w:val="0"/>
          <w:color w:val="6B7280"/>
          <w:sz w:val="21"/>
        </w:rPr>
        <w:t>图 4　单亩单次经济模型：收入、成本与毛利的构成</w:t>
      </w:r>
    </w:p>
    <w:p>
      <w:pPr>
        <w:spacing w:before="0" w:after="120" w:lineRule="auto" w:line="360"/>
        <w:ind w:firstLine="480"/>
      </w:pPr>
      <w:r>
        <w:rPr>
          <w:rFonts w:ascii="宋体" w:hAnsi="宋体" w:eastAsia="宋体"/>
          <w:b w:val="0"/>
          <w:color w:val="111827"/>
          <w:sz w:val="24"/>
        </w:rPr>
        <w:t>四项成本里，飞手人工占比最高（1.7 元，占成本 39%），所以「飞手人效」是唯一能真正改善毛利的杠杆；设备折旧是刚性支出，靠提高年利用率摊薄；管理与损耗这一项最容易被低估，实际包含转场、返工与天气取消。</w:t>
      </w:r>
    </w:p>
    <w:p>
      <w:pPr>
        <w:keepNext/>
        <w:keepLines/>
        <w:spacing w:before="280" w:after="140" w:line="360" w:lineRule="auto"/>
        <w:outlineLvl w:val="0"/>
      </w:pPr>
      <w:r>
        <w:rPr>
          <w:rFonts w:ascii="黑体" w:hAnsi="黑体" w:eastAsia="黑体"/>
          <w:b/>
          <w:color w:val="111827"/>
          <w:sz w:val="30"/>
        </w:rPr>
        <w:t>五、实施计划与团队</w:t>
      </w:r>
    </w:p>
    <w:p>
      <w:pPr>
        <w:keepNext/>
        <w:keepLines/>
        <w:spacing w:before="0" w:after="120" w:lineRule="auto" w:line="360"/>
        <w:ind w:firstLine="480"/>
      </w:pPr>
      <w:r>
        <w:rPr>
          <w:rFonts w:ascii="宋体" w:hAnsi="宋体" w:eastAsia="宋体"/>
          <w:b w:val="0"/>
          <w:color w:val="111827"/>
          <w:sz w:val="24"/>
        </w:rPr>
        <w:t>项目分三阶段推进：产品定型、区域复制、跨区扩张。各阶段起止时间如图 5 所示：</w:t>
      </w:r>
    </w:p>
    <w:p>
      <w:pPr>
        <w:keepNext/>
        <w:keepLines/>
        <w:spacing w:before="160" w:after="60"/>
        <w:jc w:val="center"/>
      </w:pPr>
      <w:r>
        <w:drawing>
          <wp:inline xmlns:a="http://schemas.openxmlformats.org/drawingml/2006/main" xmlns:pic="http://schemas.openxmlformats.org/drawingml/2006/picture">
            <wp:extent cx="5348767" cy="2520000"/>
            <wp:docPr id="5" name="Picture 5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02_gantt.png"/>
                    <pic:cNvPicPr/>
                  </pic:nvPicPr>
                  <pic:blipFill>
                    <a:blip r:embed="rId14"/>
                    <a:stretch>
                      <a:fillRect/>
                    </a:stretch>
                  </pic:blipFill>
                  <pic:spPr>
                    <a:xfrm>
                      <a:off x="0" y="0"/>
                      <a:ext cx="5348767" cy="2520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keepLines/>
        <w:spacing w:before="0" w:after="200"/>
        <w:jc w:val="center"/>
      </w:pPr>
      <w:r>
        <w:rPr>
          <w:rFonts w:ascii="宋体" w:hAnsi="宋体" w:eastAsia="宋体"/>
          <w:b w:val="0"/>
          <w:color w:val="6B7280"/>
          <w:sz w:val="21"/>
        </w:rPr>
        <w:t>图 5　项目实施进度甘特图</w:t>
      </w:r>
    </w:p>
    <w:p>
      <w:pPr>
        <w:spacing w:before="0" w:after="120" w:lineRule="auto" w:line="360"/>
        <w:ind w:firstLine="480"/>
      </w:pPr>
      <w:r>
        <w:rPr>
          <w:rFonts w:ascii="宋体" w:hAnsi="宋体" w:eastAsia="宋体"/>
          <w:b w:val="0"/>
          <w:color w:val="111827"/>
          <w:sz w:val="24"/>
        </w:rPr>
        <w:t>团队现有 5 人，其中飞行作业 2 人（持 CAAC 执照）、算法 1 人、市场 1 人、财务 1 人，指导教师为农业经济管理方向教授，具备县域农服项目落地经验。</w:t>
      </w:r>
    </w:p>
    <w:p>
      <w:pPr>
        <w:spacing w:before="0" w:after="120" w:lineRule="auto" w:line="360"/>
        <w:ind w:firstLine="480"/>
      </w:pPr>
      <w:r>
        <w:rPr>
          <w:rFonts w:ascii="宋体" w:hAnsi="宋体" w:eastAsia="宋体"/>
          <w:b w:val="0"/>
          <w:color w:val="111827"/>
          <w:sz w:val="24"/>
        </w:rPr>
        <w:t>三阶段的分界线不是时间，而是能力门槛：产品定型期要解决「能不能稳定交付」，区域复制期要解决「换个人能不能同样交付」，跨区扩张期要解决「换个县能不能跑通」。每一关不过，盲目扩张只会放大亏损。</w:t>
      </w:r>
    </w:p>
    <w:p>
      <w:pPr>
        <w:spacing w:before="0" w:after="120" w:lineRule="auto" w:line="360"/>
        <w:ind w:firstLine="480"/>
      </w:pPr>
      <w:r>
        <w:rPr>
          <w:rFonts w:ascii="宋体" w:hAnsi="宋体" w:eastAsia="宋体"/>
          <w:b w:val="0"/>
          <w:color w:val="111827"/>
          <w:sz w:val="24"/>
        </w:rPr>
        <w:t>团队目前最大的短板是市场人手不足。现有 5 人中只有 1 人负责市场，而区域复制阶段需要同时维护 3 个县的关系。本轮训练计划中，我们打算用部分经费在本地高校招募兼职地推，先把单县模型跑通再谈复制。</w:t>
      </w:r>
    </w:p>
    <w:p>
      <w:pPr>
        <w:keepNext/>
        <w:keepLines/>
        <w:spacing w:before="200" w:after="100" w:line="360" w:lineRule="auto"/>
        <w:outlineLvl w:val="1"/>
      </w:pPr>
      <w:r>
        <w:rPr>
          <w:rFonts w:ascii="黑体" w:hAnsi="黑体" w:eastAsia="黑体"/>
          <w:b/>
          <w:color w:val="111827"/>
          <w:sz w:val="25"/>
        </w:rPr>
        <w:t>5.1 阶段目标量化</w:t>
      </w:r>
    </w:p>
    <w:p>
      <w:pPr>
        <w:spacing w:before="0" w:after="120" w:lineRule="auto" w:line="360"/>
        <w:ind w:firstLine="480"/>
      </w:pPr>
      <w:r>
        <w:rPr>
          <w:rFonts w:ascii="宋体" w:hAnsi="宋体" w:eastAsia="宋体"/>
          <w:b w:val="0"/>
          <w:color w:val="111827"/>
          <w:sz w:val="24"/>
        </w:rPr>
        <w:t>三个阶段各设一个「不可妥协」的验收指标，避免自欺欺人。产品定型期的指标是「连续 20 次作业零返工」——早期我们出现过 3 次因航线规划错误导致漏拍，客户虽未投诉，但返工成本极高。</w:t>
      </w:r>
    </w:p>
    <w:p>
      <w:pPr>
        <w:spacing w:before="0" w:after="120" w:lineRule="auto" w:line="360"/>
        <w:ind w:firstLine="480"/>
      </w:pPr>
      <w:r>
        <w:rPr>
          <w:rFonts w:ascii="宋体" w:hAnsi="宋体" w:eastAsia="宋体"/>
          <w:b w:val="0"/>
          <w:color w:val="111827"/>
          <w:sz w:val="24"/>
        </w:rPr>
        <w:t>区域复制期的指标是「新飞手独立完成率」。我们要求一名无经验飞手经 2 周培训后，能在无人指导下独立完成地块圈定到报告推送的全流程，且报告质量与老手无显著差异。这一条不过，说明服务不可复制，扩张就是放大亏损。</w:t>
      </w:r>
    </w:p>
    <w:p>
      <w:pPr>
        <w:spacing w:before="0" w:after="120" w:lineRule="auto" w:line="360"/>
        <w:ind w:firstLine="480"/>
      </w:pPr>
      <w:r>
        <w:rPr>
          <w:rFonts w:ascii="宋体" w:hAnsi="宋体" w:eastAsia="宋体"/>
          <w:b w:val="0"/>
          <w:color w:val="111827"/>
          <w:sz w:val="24"/>
        </w:rPr>
        <w:t>跨区扩张期的指标是「单县盈亏平衡周期」。目标是从进场到单县累计现金流转正不超过 9 个月。若某县 12 个月仍未转正，则停止投入并复盘，而不是继续追加。</w:t>
      </w:r>
    </w:p>
    <w:p>
      <w:pPr>
        <w:keepNext/>
        <w:keepLines/>
        <w:spacing w:before="280" w:after="140" w:line="360" w:lineRule="auto"/>
        <w:outlineLvl w:val="0"/>
      </w:pPr>
      <w:r>
        <w:rPr>
          <w:rFonts w:ascii="黑体" w:hAnsi="黑体" w:eastAsia="黑体"/>
          <w:b/>
          <w:color w:val="111827"/>
          <w:sz w:val="30"/>
        </w:rPr>
        <w:t>六、风险分析与对策</w:t>
      </w:r>
    </w:p>
    <w:p>
      <w:pPr>
        <w:keepNext/>
        <w:keepLines/>
        <w:spacing w:before="120" w:after="40" w:line="288" w:lineRule="auto"/>
        <w:jc w:val="center"/>
      </w:pPr>
      <w:r>
        <w:rPr>
          <w:rFonts w:ascii="黑体" w:hAnsi="黑体" w:eastAsia="黑体"/>
          <w:b w:val="0"/>
          <w:color w:val="111827"/>
          <w:sz w:val="21"/>
        </w:rPr>
        <w:t>表 5　主要风险的具体表现与应对措施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  <w:tblLayout w:type="fixed"/>
        <w:tblCellMar>
          <w:top w:w="50" w:type="dxa"/>
          <w:bottom w:w="50" w:type="dxa"/>
          <w:left w:w="100" w:type="dxa"/>
          <w:right w:w="100" w:type="dxa"/>
        </w:tblCellMar>
      </w:tblPr>
      <w:tblGrid>
        <w:gridCol w:w="1658"/>
        <w:gridCol w:w="2873"/>
        <w:gridCol w:w="4200"/>
      </w:tblGrid>
      <w:tr>
        <w:trPr>
          <w:tblHeader/>
          <w:cantSplit/>
        </w:trPr>
        <w:tc>
          <w:tcPr>
            <w:tcW w:type="dxa" w:w="1658"/>
          </w:tcPr>
          <w:p>
            <w:pPr>
              <w:keepNext/>
              <w:keepLines/>
              <w:spacing w:before="0" w:after="0"/>
              <w:jc w:val="center"/>
            </w:pPr>
            <w:r/>
            <w:r>
              <w:rPr>
                <w:rFonts w:ascii="黑体" w:hAnsi="黑体" w:eastAsia="黑体"/>
                <w:b/>
                <w:color w:val="111827"/>
                <w:sz w:val="21"/>
              </w:rPr>
              <w:t>风险类型</w:t>
            </w:r>
          </w:p>
        </w:tc>
        <w:tc>
          <w:tcPr>
            <w:tcW w:type="dxa" w:w="2873"/>
          </w:tcPr>
          <w:p>
            <w:pPr>
              <w:keepNext/>
              <w:keepLines/>
              <w:spacing w:before="0" w:after="0"/>
              <w:jc w:val="center"/>
            </w:pPr>
            <w:r/>
            <w:r>
              <w:rPr>
                <w:rFonts w:ascii="黑体" w:hAnsi="黑体" w:eastAsia="黑体"/>
                <w:b/>
                <w:color w:val="111827"/>
                <w:sz w:val="21"/>
              </w:rPr>
              <w:t>具体表现</w:t>
            </w:r>
          </w:p>
        </w:tc>
        <w:tc>
          <w:tcPr>
            <w:tcW w:type="dxa" w:w="4200"/>
          </w:tcPr>
          <w:p>
            <w:pPr>
              <w:keepNext/>
              <w:keepLines/>
              <w:spacing w:before="0" w:after="0"/>
              <w:jc w:val="center"/>
            </w:pPr>
            <w:r/>
            <w:r>
              <w:rPr>
                <w:rFonts w:ascii="黑体" w:hAnsi="黑体" w:eastAsia="黑体"/>
                <w:b/>
                <w:color w:val="111827"/>
                <w:sz w:val="21"/>
              </w:rPr>
              <w:t>应对措施</w:t>
            </w:r>
          </w:p>
        </w:tc>
      </w:tr>
      <w:tr>
        <w:trPr>
          <w:cantSplit/>
        </w:trPr>
        <w:tc>
          <w:tcPr>
            <w:tcW w:type="dxa" w:w="1658"/>
          </w:tcPr>
          <w:p>
            <w:pPr>
              <w:keepNext/>
              <w:keepLines/>
              <w:spacing w:before="0" w:after="0" w:line="276" w:lineRule="auto"/>
            </w:pPr>
            <w:r/>
            <w:r>
              <w:rPr>
                <w:rFonts w:ascii="宋体" w:hAnsi="宋体" w:eastAsia="宋体"/>
                <w:b w:val="0"/>
                <w:color w:val="111827"/>
                <w:sz w:val="21"/>
              </w:rPr>
              <w:t>政策风险</w:t>
            </w:r>
          </w:p>
        </w:tc>
        <w:tc>
          <w:tcPr>
            <w:tcW w:type="dxa" w:w="2873"/>
          </w:tcPr>
          <w:p>
            <w:pPr>
              <w:keepNext/>
              <w:keepLines/>
              <w:spacing w:before="0" w:after="0" w:line="276" w:lineRule="auto"/>
              <w:jc w:val="center"/>
            </w:pPr>
            <w:r/>
            <w:r>
              <w:rPr>
                <w:rFonts w:ascii="宋体" w:hAnsi="宋体" w:eastAsia="宋体"/>
                <w:b w:val="0"/>
                <w:color w:val="111827"/>
                <w:sz w:val="21"/>
              </w:rPr>
              <w:t>空域审批趋严</w:t>
            </w:r>
          </w:p>
        </w:tc>
        <w:tc>
          <w:tcPr>
            <w:tcW w:type="dxa" w:w="4200"/>
          </w:tcPr>
          <w:p>
            <w:pPr>
              <w:keepNext/>
              <w:keepLines/>
              <w:spacing w:before="0" w:after="0" w:line="276" w:lineRule="auto"/>
              <w:jc w:val="center"/>
            </w:pPr>
            <w:r/>
            <w:r>
              <w:rPr>
                <w:rFonts w:ascii="宋体" w:hAnsi="宋体" w:eastAsia="宋体"/>
                <w:b w:val="0"/>
                <w:color w:val="111827"/>
                <w:sz w:val="21"/>
              </w:rPr>
              <w:t>提前备案航线，与县农业农村局建立作业报备机制</w:t>
            </w:r>
          </w:p>
        </w:tc>
      </w:tr>
      <w:tr>
        <w:trPr>
          <w:cantSplit/>
        </w:trPr>
        <w:tc>
          <w:tcPr>
            <w:tcW w:type="dxa" w:w="1658"/>
          </w:tcPr>
          <w:p>
            <w:pPr>
              <w:keepNext/>
              <w:keepLines/>
              <w:spacing w:before="0" w:after="0" w:line="276" w:lineRule="auto"/>
            </w:pPr>
            <w:r/>
            <w:r>
              <w:rPr>
                <w:rFonts w:ascii="宋体" w:hAnsi="宋体" w:eastAsia="宋体"/>
                <w:b w:val="0"/>
                <w:color w:val="111827"/>
                <w:sz w:val="21"/>
              </w:rPr>
              <w:t>技术风险</w:t>
            </w:r>
          </w:p>
        </w:tc>
        <w:tc>
          <w:tcPr>
            <w:tcW w:type="dxa" w:w="2873"/>
          </w:tcPr>
          <w:p>
            <w:pPr>
              <w:keepNext/>
              <w:keepLines/>
              <w:spacing w:before="0" w:after="0" w:line="276" w:lineRule="auto"/>
              <w:jc w:val="center"/>
            </w:pPr>
            <w:r/>
            <w:r>
              <w:rPr>
                <w:rFonts w:ascii="宋体" w:hAnsi="宋体" w:eastAsia="宋体"/>
                <w:b w:val="0"/>
                <w:color w:val="111827"/>
                <w:sz w:val="21"/>
              </w:rPr>
              <w:t>阴雨天气影响成像</w:t>
            </w:r>
          </w:p>
        </w:tc>
        <w:tc>
          <w:tcPr>
            <w:tcW w:type="dxa" w:w="4200"/>
          </w:tcPr>
          <w:p>
            <w:pPr>
              <w:keepNext/>
              <w:keepLines/>
              <w:spacing w:before="0" w:after="0" w:line="276" w:lineRule="auto"/>
              <w:jc w:val="center"/>
            </w:pPr>
            <w:r/>
            <w:r>
              <w:rPr>
                <w:rFonts w:ascii="宋体" w:hAnsi="宋体" w:eastAsia="宋体"/>
                <w:b w:val="0"/>
                <w:color w:val="111827"/>
                <w:sz w:val="21"/>
              </w:rPr>
              <w:t>配置 SAR 备份方案，缩短单次作业窗口</w:t>
            </w:r>
          </w:p>
        </w:tc>
      </w:tr>
      <w:tr>
        <w:trPr>
          <w:cantSplit/>
        </w:trPr>
        <w:tc>
          <w:tcPr>
            <w:tcW w:type="dxa" w:w="1658"/>
          </w:tcPr>
          <w:p>
            <w:pPr>
              <w:keepNext/>
              <w:keepLines/>
              <w:spacing w:before="0" w:after="0" w:line="276" w:lineRule="auto"/>
            </w:pPr>
            <w:r/>
            <w:r>
              <w:rPr>
                <w:rFonts w:ascii="宋体" w:hAnsi="宋体" w:eastAsia="宋体"/>
                <w:b w:val="0"/>
                <w:color w:val="111827"/>
                <w:sz w:val="21"/>
              </w:rPr>
              <w:t>市场风险</w:t>
            </w:r>
          </w:p>
        </w:tc>
        <w:tc>
          <w:tcPr>
            <w:tcW w:type="dxa" w:w="2873"/>
          </w:tcPr>
          <w:p>
            <w:pPr>
              <w:keepNext/>
              <w:keepLines/>
              <w:spacing w:before="0" w:after="0" w:line="276" w:lineRule="auto"/>
              <w:jc w:val="center"/>
            </w:pPr>
            <w:r/>
            <w:r>
              <w:rPr>
                <w:rFonts w:ascii="宋体" w:hAnsi="宋体" w:eastAsia="宋体"/>
                <w:b w:val="0"/>
                <w:color w:val="111827"/>
                <w:sz w:val="21"/>
              </w:rPr>
              <w:t>农户付费意愿不足</w:t>
            </w:r>
          </w:p>
        </w:tc>
        <w:tc>
          <w:tcPr>
            <w:tcW w:type="dxa" w:w="4200"/>
          </w:tcPr>
          <w:p>
            <w:pPr>
              <w:keepNext/>
              <w:keepLines/>
              <w:spacing w:before="0" w:after="0" w:line="276" w:lineRule="auto"/>
              <w:jc w:val="center"/>
            </w:pPr>
            <w:r/>
            <w:r>
              <w:rPr>
                <w:rFonts w:ascii="宋体" w:hAnsi="宋体" w:eastAsia="宋体"/>
                <w:b w:val="0"/>
                <w:color w:val="111827"/>
                <w:sz w:val="21"/>
              </w:rPr>
              <w:t>首年按效果付费，未预警不收费</w:t>
            </w:r>
          </w:p>
        </w:tc>
      </w:tr>
      <w:tr>
        <w:trPr>
          <w:cantSplit/>
        </w:trPr>
        <w:tc>
          <w:tcPr>
            <w:tcW w:type="dxa" w:w="1658"/>
          </w:tcPr>
          <w:p>
            <w:pPr>
              <w:spacing w:before="0" w:after="0" w:line="276" w:lineRule="auto"/>
            </w:pPr>
            <w:r/>
            <w:r>
              <w:rPr>
                <w:rFonts w:ascii="宋体" w:hAnsi="宋体" w:eastAsia="宋体"/>
                <w:b w:val="0"/>
                <w:color w:val="111827"/>
                <w:sz w:val="21"/>
              </w:rPr>
              <w:t>运营风险</w:t>
            </w:r>
          </w:p>
        </w:tc>
        <w:tc>
          <w:tcPr>
            <w:tcW w:type="dxa" w:w="2873"/>
          </w:tcPr>
          <w:p>
            <w:pPr>
              <w:spacing w:before="0" w:after="0" w:line="276" w:lineRule="auto"/>
              <w:jc w:val="center"/>
            </w:pPr>
            <w:r/>
            <w:r>
              <w:rPr>
                <w:rFonts w:ascii="宋体" w:hAnsi="宋体" w:eastAsia="宋体"/>
                <w:b w:val="0"/>
                <w:color w:val="111827"/>
                <w:sz w:val="21"/>
              </w:rPr>
              <w:t>飞手流失</w:t>
            </w:r>
          </w:p>
        </w:tc>
        <w:tc>
          <w:tcPr>
            <w:tcW w:type="dxa" w:w="4200"/>
          </w:tcPr>
          <w:p>
            <w:pPr>
              <w:spacing w:before="0" w:after="0" w:line="276" w:lineRule="auto"/>
              <w:jc w:val="center"/>
            </w:pPr>
            <w:r/>
            <w:r>
              <w:rPr>
                <w:rFonts w:ascii="宋体" w:hAnsi="宋体" w:eastAsia="宋体"/>
                <w:b w:val="0"/>
                <w:color w:val="111827"/>
                <w:sz w:val="21"/>
              </w:rPr>
              <w:t>核心飞手股权激励，建立标准化作业手册</w:t>
            </w:r>
          </w:p>
        </w:tc>
      </w:tr>
    </w:tbl>
    <w:p>
      <w:pPr>
        <w:spacing w:before="0" w:after="0" w:line="240" w:lineRule="exact"/>
      </w:pPr>
      <w:r>
        <w:rPr>
          <w:rFonts w:ascii="宋体" w:hAnsi="宋体" w:eastAsia="宋体"/>
          <w:b w:val="0"/>
          <w:color w:val="111827"/>
          <w:sz w:val="16"/>
        </w:rPr>
      </w:r>
    </w:p>
    <w:p>
      <w:pPr>
        <w:spacing w:before="0" w:after="120" w:lineRule="auto" w:line="360"/>
        <w:ind w:firstLine="480"/>
      </w:pPr>
      <w:r>
        <w:rPr>
          <w:rFonts w:ascii="宋体" w:hAnsi="宋体" w:eastAsia="宋体"/>
          <w:b w:val="0"/>
          <w:color w:val="111827"/>
          <w:sz w:val="24"/>
        </w:rPr>
        <w:t>政策风险值得单独说。低空作业的空域审批在各地执行尺度不一，有些县要求逐次报备，有些县只需年度备案。这直接影响作业效率——逐次报备意味着无法做应急响应。团队的做法是先与县级农业农村局建立年度备案关系，把审批前置，而不是每次都走流程（见表 5）。</w:t>
      </w:r>
    </w:p>
    <w:p>
      <w:pPr>
        <w:spacing w:before="0" w:after="120" w:lineRule="auto" w:line="360"/>
        <w:ind w:firstLine="480"/>
      </w:pPr>
      <w:r>
        <w:rPr>
          <w:rFonts w:ascii="宋体" w:hAnsi="宋体" w:eastAsia="宋体"/>
          <w:b w:val="0"/>
          <w:color w:val="111827"/>
          <w:sz w:val="24"/>
        </w:rPr>
        <w:t>季节性风险是最容易被低估的一项。农业服务一年只有 6—8 个工作窗口，错过窗口意味着整季无收入，而人员工资照发。我们见过同类的飞防队因为连续两个雨季作业受阻而解散。</w:t>
      </w:r>
    </w:p>
    <w:p>
      <w:pPr>
        <w:spacing w:before="0" w:after="120" w:lineRule="auto" w:line="360"/>
        <w:ind w:firstLine="480"/>
      </w:pPr>
      <w:r>
        <w:rPr>
          <w:rFonts w:ascii="宋体" w:hAnsi="宋体" w:eastAsia="宋体"/>
          <w:b w:val="0"/>
          <w:color w:val="111827"/>
          <w:sz w:val="24"/>
        </w:rPr>
        <w:t>对策是「双季作物布局 + 淡季业务填充」。在选县时优先选择稻麦轮作区，把作业窗口从单季 6 个月拉长到双季 9 个月；淡季承接林业普查、水利巡检、光伏板清洗等业务，虽然单价低，但能把人员与设备稳住，避免旺季前重新招人。</w:t>
      </w:r>
    </w:p>
    <w:p>
      <w:pPr>
        <w:keepNext/>
        <w:keepLines/>
        <w:spacing w:before="280" w:after="140" w:line="360" w:lineRule="auto"/>
        <w:outlineLvl w:val="0"/>
      </w:pPr>
      <w:r>
        <w:rPr>
          <w:rFonts w:ascii="黑体" w:hAnsi="黑体" w:eastAsia="黑体"/>
          <w:b/>
          <w:color w:val="111827"/>
          <w:sz w:val="30"/>
        </w:rPr>
        <w:t>七、训练目标与预期收获</w:t>
      </w:r>
    </w:p>
    <w:p>
      <w:pPr>
        <w:spacing w:before="0" w:after="120" w:lineRule="auto" w:line="360"/>
        <w:ind w:firstLine="480"/>
      </w:pPr>
      <w:r>
        <w:rPr>
          <w:rFonts w:ascii="宋体" w:hAnsi="宋体" w:eastAsia="宋体"/>
          <w:b w:val="0"/>
          <w:color w:val="111827"/>
          <w:sz w:val="24"/>
        </w:rPr>
        <w:t>本项目作为创业训练项目，重点不在技术突破，而在验证一件事：一个由在校学生组成的小团队，能否在真实市场里把一门农业服务生意跑通。为此设定三个可检验的训练目标。</w:t>
      </w:r>
    </w:p>
    <w:p>
      <w:pPr>
        <w:spacing w:before="0" w:after="120" w:lineRule="auto" w:line="360"/>
        <w:ind w:firstLine="480"/>
      </w:pPr>
      <w:r>
        <w:rPr>
          <w:rFonts w:ascii="宋体" w:hAnsi="宋体" w:eastAsia="宋体"/>
          <w:b w:val="0"/>
          <w:color w:val="111827"/>
          <w:sz w:val="24"/>
        </w:rPr>
        <w:t>目标一：完成单县闭环。在 1 个县内实现签约面积 8000 亩、复购率 70% 以上、单亩毛利转正，证明模型可成立。目标二：形成标准化作业手册，使一名新飞手经过 2 周培训即可独立完成全流程交付，证明服务可复制。目标三：跑通农资集采链路，与至少 1 家农资厂商签订代理协议，证明第二增长曲线存在。</w:t>
      </w:r>
    </w:p>
    <w:p>
      <w:pPr>
        <w:spacing w:before="0" w:after="120" w:lineRule="auto" w:line="360"/>
        <w:ind w:firstLine="480"/>
      </w:pPr>
      <w:r>
        <w:rPr>
          <w:rFonts w:ascii="宋体" w:hAnsi="宋体" w:eastAsia="宋体"/>
          <w:b w:val="0"/>
          <w:color w:val="111827"/>
          <w:sz w:val="24"/>
        </w:rPr>
        <w:t>预期收获主要在三个层面：一是理解农业这种「重线下、重信任、强季节」的行业与互联网行业的根本差异；二是掌握从单位经济模型倒推运营决策的方法；三是学会在资源极度受限的条件下做取舍。</w:t>
      </w:r>
    </w:p>
    <w:p>
      <w:pPr>
        <w:keepNext/>
        <w:keepLines/>
        <w:spacing w:before="280" w:after="140" w:line="360" w:lineRule="auto"/>
        <w:outlineLvl w:val="0"/>
      </w:pPr>
      <w:r>
        <w:rPr>
          <w:rFonts w:ascii="黑体" w:hAnsi="黑体" w:eastAsia="黑体"/>
          <w:b/>
          <w:color w:val="111827"/>
          <w:sz w:val="30"/>
        </w:rPr>
        <w:t>八、退出机制与最坏情况兜底</w:t>
      </w:r>
    </w:p>
    <w:p>
      <w:pPr>
        <w:spacing w:before="0" w:after="120" w:lineRule="auto" w:line="360"/>
        <w:ind w:firstLine="480"/>
      </w:pPr>
      <w:r>
        <w:rPr>
          <w:rFonts w:ascii="宋体" w:hAnsi="宋体" w:eastAsia="宋体"/>
          <w:b w:val="0"/>
          <w:color w:val="111827"/>
          <w:sz w:val="24"/>
        </w:rPr>
        <w:t>训练项目也要写失败预案，否则不叫训练。我把可能的失败分成三种，每种都设了明确的止损线和收尾方式（见表 6）。</w:t>
      </w:r>
    </w:p>
    <w:p>
      <w:pPr>
        <w:keepNext/>
        <w:keepLines/>
        <w:spacing w:before="120" w:after="40" w:line="288" w:lineRule="auto"/>
        <w:jc w:val="center"/>
      </w:pPr>
      <w:r>
        <w:rPr>
          <w:rFonts w:ascii="黑体" w:hAnsi="黑体" w:eastAsia="黑体"/>
          <w:b w:val="0"/>
          <w:color w:val="111827"/>
          <w:sz w:val="21"/>
        </w:rPr>
        <w:t>表 6　失败情形、判断标准与止损动作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  <w:tblLayout w:type="fixed"/>
        <w:tblCellMar>
          <w:top w:w="50" w:type="dxa"/>
          <w:bottom w:w="50" w:type="dxa"/>
          <w:left w:w="100" w:type="dxa"/>
          <w:right w:w="100" w:type="dxa"/>
        </w:tblCellMar>
      </w:tblPr>
      <w:tblGrid>
        <w:gridCol w:w="1643"/>
        <w:gridCol w:w="2773"/>
        <w:gridCol w:w="2054"/>
        <w:gridCol w:w="2260"/>
      </w:tblGrid>
      <w:tr>
        <w:trPr>
          <w:tblHeader/>
          <w:cantSplit/>
        </w:trPr>
        <w:tc>
          <w:tcPr>
            <w:tcW w:type="dxa" w:w="1643"/>
          </w:tcPr>
          <w:p>
            <w:pPr>
              <w:keepNext/>
              <w:keepLines/>
              <w:spacing w:before="0" w:after="0"/>
              <w:jc w:val="center"/>
            </w:pPr>
            <w:r/>
            <w:r>
              <w:rPr>
                <w:rFonts w:ascii="黑体" w:hAnsi="黑体" w:eastAsia="黑体"/>
                <w:b/>
                <w:color w:val="111827"/>
                <w:sz w:val="21"/>
              </w:rPr>
              <w:t>失败情形</w:t>
            </w:r>
          </w:p>
        </w:tc>
        <w:tc>
          <w:tcPr>
            <w:tcW w:type="dxa" w:w="2773"/>
          </w:tcPr>
          <w:p>
            <w:pPr>
              <w:keepNext/>
              <w:keepLines/>
              <w:spacing w:before="0" w:after="0"/>
              <w:jc w:val="center"/>
            </w:pPr>
            <w:r/>
            <w:r>
              <w:rPr>
                <w:rFonts w:ascii="黑体" w:hAnsi="黑体" w:eastAsia="黑体"/>
                <w:b/>
                <w:color w:val="111827"/>
                <w:sz w:val="21"/>
              </w:rPr>
              <w:t>判断标准</w:t>
            </w:r>
          </w:p>
        </w:tc>
        <w:tc>
          <w:tcPr>
            <w:tcW w:type="dxa" w:w="2054"/>
          </w:tcPr>
          <w:p>
            <w:pPr>
              <w:keepNext/>
              <w:keepLines/>
              <w:spacing w:before="0" w:after="0"/>
              <w:jc w:val="center"/>
            </w:pPr>
            <w:r/>
            <w:r>
              <w:rPr>
                <w:rFonts w:ascii="黑体" w:hAnsi="黑体" w:eastAsia="黑体"/>
                <w:b/>
                <w:color w:val="111827"/>
                <w:sz w:val="21"/>
              </w:rPr>
              <w:t>止损动作</w:t>
            </w:r>
          </w:p>
        </w:tc>
        <w:tc>
          <w:tcPr>
            <w:tcW w:type="dxa" w:w="2260"/>
          </w:tcPr>
          <w:p>
            <w:pPr>
              <w:keepNext/>
              <w:keepLines/>
              <w:spacing w:before="0" w:after="0"/>
              <w:jc w:val="center"/>
            </w:pPr>
            <w:r/>
            <w:r>
              <w:rPr>
                <w:rFonts w:ascii="黑体" w:hAnsi="黑体" w:eastAsia="黑体"/>
                <w:b/>
                <w:color w:val="111827"/>
                <w:sz w:val="21"/>
              </w:rPr>
              <w:t>可保留的成果</w:t>
            </w:r>
          </w:p>
        </w:tc>
      </w:tr>
      <w:tr>
        <w:trPr>
          <w:cantSplit/>
        </w:trPr>
        <w:tc>
          <w:tcPr>
            <w:tcW w:type="dxa" w:w="1643"/>
          </w:tcPr>
          <w:p>
            <w:pPr>
              <w:keepNext/>
              <w:keepLines/>
              <w:spacing w:before="0" w:after="0" w:line="276" w:lineRule="auto"/>
            </w:pPr>
            <w:r/>
            <w:r>
              <w:rPr>
                <w:rFonts w:ascii="宋体" w:hAnsi="宋体" w:eastAsia="宋体"/>
                <w:b w:val="0"/>
                <w:color w:val="111827"/>
                <w:sz w:val="21"/>
              </w:rPr>
              <w:t>服务不被农户接受</w:t>
            </w:r>
          </w:p>
        </w:tc>
        <w:tc>
          <w:tcPr>
            <w:tcW w:type="dxa" w:w="2773"/>
          </w:tcPr>
          <w:p>
            <w:pPr>
              <w:keepNext/>
              <w:keepLines/>
              <w:spacing w:before="0" w:after="0" w:line="276" w:lineRule="auto"/>
              <w:jc w:val="center"/>
            </w:pPr>
            <w:r/>
            <w:r>
              <w:rPr>
                <w:rFonts w:ascii="宋体" w:hAnsi="宋体" w:eastAsia="宋体"/>
                <w:b w:val="0"/>
                <w:color w:val="111827"/>
                <w:sz w:val="21"/>
              </w:rPr>
              <w:t>试点一个完整生长季，续约率低于 40%</w:t>
            </w:r>
          </w:p>
        </w:tc>
        <w:tc>
          <w:tcPr>
            <w:tcW w:type="dxa" w:w="2054"/>
          </w:tcPr>
          <w:p>
            <w:pPr>
              <w:keepNext/>
              <w:keepLines/>
              <w:spacing w:before="0" w:after="0" w:line="276" w:lineRule="auto"/>
              <w:jc w:val="center"/>
            </w:pPr>
            <w:r/>
            <w:r>
              <w:rPr>
                <w:rFonts w:ascii="宋体" w:hAnsi="宋体" w:eastAsia="宋体"/>
                <w:b w:val="0"/>
                <w:color w:val="111827"/>
                <w:sz w:val="21"/>
              </w:rPr>
              <w:t>停止扩张，退回单点服务</w:t>
            </w:r>
          </w:p>
        </w:tc>
        <w:tc>
          <w:tcPr>
            <w:tcW w:type="dxa" w:w="2260"/>
          </w:tcPr>
          <w:p>
            <w:pPr>
              <w:keepNext/>
              <w:keepLines/>
              <w:spacing w:before="0" w:after="0" w:line="276" w:lineRule="auto"/>
              <w:jc w:val="center"/>
            </w:pPr>
            <w:r/>
            <w:r>
              <w:rPr>
                <w:rFonts w:ascii="宋体" w:hAnsi="宋体" w:eastAsia="宋体"/>
                <w:b w:val="0"/>
                <w:color w:val="111827"/>
                <w:sz w:val="21"/>
              </w:rPr>
              <w:t>作物长势数据集、作业流程手册</w:t>
            </w:r>
          </w:p>
        </w:tc>
      </w:tr>
      <w:tr>
        <w:trPr>
          <w:cantSplit/>
        </w:trPr>
        <w:tc>
          <w:tcPr>
            <w:tcW w:type="dxa" w:w="1643"/>
          </w:tcPr>
          <w:p>
            <w:pPr>
              <w:keepNext/>
              <w:keepLines/>
              <w:spacing w:before="0" w:after="0" w:line="276" w:lineRule="auto"/>
            </w:pPr>
            <w:r/>
            <w:r>
              <w:rPr>
                <w:rFonts w:ascii="宋体" w:hAnsi="宋体" w:eastAsia="宋体"/>
                <w:b w:val="0"/>
                <w:color w:val="111827"/>
                <w:sz w:val="21"/>
              </w:rPr>
              <w:t>单亩成本降不下来</w:t>
            </w:r>
          </w:p>
        </w:tc>
        <w:tc>
          <w:tcPr>
            <w:tcW w:type="dxa" w:w="2773"/>
          </w:tcPr>
          <w:p>
            <w:pPr>
              <w:keepNext/>
              <w:keepLines/>
              <w:spacing w:before="0" w:after="0" w:line="276" w:lineRule="auto"/>
              <w:jc w:val="center"/>
            </w:pPr>
            <w:r/>
            <w:r>
              <w:rPr>
                <w:rFonts w:ascii="宋体" w:hAnsi="宋体" w:eastAsia="宋体"/>
                <w:b w:val="0"/>
                <w:color w:val="111827"/>
                <w:sz w:val="21"/>
              </w:rPr>
              <w:t>连续两季单亩成本高于 5.5 元且无下降趋势</w:t>
            </w:r>
          </w:p>
        </w:tc>
        <w:tc>
          <w:tcPr>
            <w:tcW w:type="dxa" w:w="2054"/>
          </w:tcPr>
          <w:p>
            <w:pPr>
              <w:keepNext/>
              <w:keepLines/>
              <w:spacing w:before="0" w:after="0" w:line="276" w:lineRule="auto"/>
              <w:jc w:val="center"/>
            </w:pPr>
            <w:r/>
            <w:r>
              <w:rPr>
                <w:rFonts w:ascii="宋体" w:hAnsi="宋体" w:eastAsia="宋体"/>
                <w:b w:val="0"/>
                <w:color w:val="111827"/>
                <w:sz w:val="21"/>
              </w:rPr>
              <w:t>缩减服务面积，改为按次收费</w:t>
            </w:r>
          </w:p>
        </w:tc>
        <w:tc>
          <w:tcPr>
            <w:tcW w:type="dxa" w:w="2260"/>
          </w:tcPr>
          <w:p>
            <w:pPr>
              <w:keepNext/>
              <w:keepLines/>
              <w:spacing w:before="0" w:after="0" w:line="276" w:lineRule="auto"/>
              <w:jc w:val="center"/>
            </w:pPr>
            <w:r/>
            <w:r>
              <w:rPr>
                <w:rFonts w:ascii="宋体" w:hAnsi="宋体" w:eastAsia="宋体"/>
                <w:b w:val="0"/>
                <w:color w:val="111827"/>
                <w:sz w:val="21"/>
              </w:rPr>
              <w:t>成本结构模型、飞手排班方法</w:t>
            </w:r>
          </w:p>
        </w:tc>
      </w:tr>
      <w:tr>
        <w:trPr>
          <w:cantSplit/>
        </w:trPr>
        <w:tc>
          <w:tcPr>
            <w:tcW w:type="dxa" w:w="1643"/>
          </w:tcPr>
          <w:p>
            <w:pPr>
              <w:spacing w:before="0" w:after="0" w:line="276" w:lineRule="auto"/>
            </w:pPr>
            <w:r/>
            <w:r>
              <w:rPr>
                <w:rFonts w:ascii="宋体" w:hAnsi="宋体" w:eastAsia="宋体"/>
                <w:b w:val="0"/>
                <w:color w:val="111827"/>
                <w:sz w:val="21"/>
              </w:rPr>
              <w:t>团队核心成员退出</w:t>
            </w:r>
          </w:p>
        </w:tc>
        <w:tc>
          <w:tcPr>
            <w:tcW w:type="dxa" w:w="2773"/>
          </w:tcPr>
          <w:p>
            <w:pPr>
              <w:spacing w:before="0" w:after="0" w:line="276" w:lineRule="auto"/>
              <w:jc w:val="center"/>
            </w:pPr>
            <w:r/>
            <w:r>
              <w:rPr>
                <w:rFonts w:ascii="宋体" w:hAnsi="宋体" w:eastAsia="宋体"/>
                <w:b w:val="0"/>
                <w:color w:val="111827"/>
                <w:sz w:val="21"/>
              </w:rPr>
              <w:t>技术或市场负责人连续 4 周无法投入</w:t>
            </w:r>
          </w:p>
        </w:tc>
        <w:tc>
          <w:tcPr>
            <w:tcW w:type="dxa" w:w="2054"/>
          </w:tcPr>
          <w:p>
            <w:pPr>
              <w:spacing w:before="0" w:after="0" w:line="276" w:lineRule="auto"/>
              <w:jc w:val="center"/>
            </w:pPr>
            <w:r/>
            <w:r>
              <w:rPr>
                <w:rFonts w:ascii="宋体" w:hAnsi="宋体" w:eastAsia="宋体"/>
                <w:b w:val="0"/>
                <w:color w:val="111827"/>
                <w:sz w:val="21"/>
              </w:rPr>
              <w:t>启动交接，缩小至 2 人可维持的最小规模</w:t>
            </w:r>
          </w:p>
        </w:tc>
        <w:tc>
          <w:tcPr>
            <w:tcW w:type="dxa" w:w="2260"/>
          </w:tcPr>
          <w:p>
            <w:pPr>
              <w:spacing w:before="0" w:after="0" w:line="276" w:lineRule="auto"/>
              <w:jc w:val="center"/>
            </w:pPr>
            <w:r/>
            <w:r>
              <w:rPr>
                <w:rFonts w:ascii="宋体" w:hAnsi="宋体" w:eastAsia="宋体"/>
                <w:b w:val="0"/>
                <w:color w:val="111827"/>
                <w:sz w:val="21"/>
              </w:rPr>
              <w:t>代码与客户资料归档，保证可交接</w:t>
            </w:r>
          </w:p>
        </w:tc>
      </w:tr>
    </w:tbl>
    <w:p>
      <w:pPr>
        <w:spacing w:before="0" w:after="0" w:line="240" w:lineRule="exact"/>
      </w:pPr>
      <w:r>
        <w:rPr>
          <w:rFonts w:ascii="宋体" w:hAnsi="宋体" w:eastAsia="宋体"/>
          <w:b w:val="0"/>
          <w:color w:val="111827"/>
          <w:sz w:val="16"/>
        </w:rPr>
      </w:r>
    </w:p>
    <w:p>
      <w:pPr>
        <w:spacing w:before="0" w:after="120" w:lineRule="auto" w:line="360"/>
        <w:ind w:firstLine="480"/>
      </w:pPr>
      <w:r>
        <w:rPr>
          <w:rFonts w:ascii="宋体" w:hAnsi="宋体" w:eastAsia="宋体"/>
          <w:b w:val="0"/>
          <w:color w:val="111827"/>
          <w:sz w:val="24"/>
        </w:rPr>
        <w:t>止损线之所以要提前写，是因为事后判断一定会被情绪影响。团队在投入了半年之后，很难客观承认「这条路不通」。把标准写在纸上，到期对表，比靠决心可靠。</w:t>
      </w:r>
    </w:p>
    <w:p>
      <w:pPr>
        <w:spacing w:before="0" w:after="120" w:lineRule="auto" w:line="360"/>
        <w:ind w:firstLine="480"/>
      </w:pPr>
      <w:r>
        <w:rPr>
          <w:rFonts w:ascii="宋体" w:hAnsi="宋体" w:eastAsia="宋体"/>
          <w:b w:val="0"/>
          <w:color w:val="111827"/>
          <w:sz w:val="24"/>
        </w:rPr>
        <w:t>还有一条底线是纪律性的：项目经费按预算科目使用，所有支出留凭证，每季度向指导教师报一次账；不挪用于与项目无关的开支，不做任何形式的虚假合同与流水。训练项目允许失败，但不允许在账目上出问题。</w:t>
      </w:r>
    </w:p>
    <w:p>
      <w:pPr>
        <w:spacing w:before="0" w:after="120" w:lineRule="auto" w:line="360"/>
        <w:ind w:firstLine="480"/>
      </w:pPr>
      <w:r>
        <w:rPr>
          <w:rFonts w:ascii="宋体" w:hAnsi="宋体" w:eastAsia="宋体"/>
          <w:b w:val="0"/>
          <w:color w:val="111827"/>
          <w:sz w:val="24"/>
        </w:rPr>
        <w:t>最后说清楚这个项目对我的意义。即使最终没有做成一家公司，我也会保留两样东西：一是那套作物长势数据，它是用真实地块、真实季节换来的，别人短期复制不了；二是我对「农业服务是关系生意」这件事的理解——这一条在课堂上永远学不到。</w:t>
      </w:r>
    </w:p>
    <w:p>
      <w:pPr>
        <w:keepNext/>
        <w:keepLines/>
        <w:spacing w:before="280" w:after="140" w:line="360" w:lineRule="auto"/>
        <w:outlineLvl w:val="0"/>
      </w:pPr>
      <w:r>
        <w:rPr>
          <w:rFonts w:ascii="黑体" w:hAnsi="黑体" w:eastAsia="黑体"/>
          <w:b/>
          <w:color w:val="111827"/>
          <w:sz w:val="30"/>
        </w:rPr>
        <w:t>九、审核意见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  <w:tblLayout w:type="fixed"/>
      </w:tblPr>
      <w:tblGrid>
        <w:gridCol w:w="8731"/>
      </w:tblGrid>
      <w:tr>
        <w:trPr>
          <w:cantSplit/>
        </w:trPr>
        <w:tc>
          <w:tcPr>
            <w:tcW w:type="dxa" w:w="8731"/>
          </w:tcPr>
          <w:p>
            <w:pPr>
              <w:spacing w:before="40" w:after="40"/>
              <w:keepNext/>
              <w:keepLines/>
              <w:pBdr>
                <w:bottom w:val="single" w:sz="6" w:space="1" w:color="7A7A7A"/>
              </w:pBdr>
            </w:pPr>
            <w:r>
              <w:rPr>
                <w:rFonts w:ascii="黑体" w:hAnsi="黑体" w:eastAsia="黑体"/>
                <w:b/>
                <w:color w:val="111827"/>
                <w:sz w:val="21"/>
              </w:rPr>
              <w:t>指导教师意见</w:t>
            </w:r>
          </w:p>
          <w:p>
            <w:pPr>
              <w:keepNext/>
              <w:keepLines/>
              <w:spacing w:before="0" w:after="0" w:line="4535" w:lineRule="exact"/>
            </w:pPr>
          </w:p>
          <w:p>
            <w:pPr>
              <w:spacing w:before="80" w:after="80"/>
              <w:jc w:val="right"/>
              <w:keepNext/>
              <w:keepLines/>
              <w:pBdr>
                <w:top w:val="single" w:sz="6" w:space="1" w:color="7A7A7A"/>
              </w:pBdr>
            </w:pPr>
            <w:r>
              <w:rPr>
                <w:rFonts w:ascii="宋体" w:hAnsi="宋体" w:eastAsia="宋体"/>
                <w:b w:val="0"/>
                <w:color w:val="6B7280"/>
                <w:sz w:val="21"/>
              </w:rPr>
              <w:t>签字：＿＿＿＿＿＿＿＿　　　日期：　　年　　月　　日</w:t>
            </w:r>
          </w:p>
        </w:tc>
      </w:tr>
      <w:tr>
        <w:trPr>
          <w:cantSplit/>
        </w:trPr>
        <w:tc>
          <w:tcPr>
            <w:tcW w:type="dxa" w:w="8731"/>
          </w:tcPr>
          <w:p>
            <w:pPr>
              <w:spacing w:before="40" w:after="40"/>
              <w:pBdr>
                <w:bottom w:val="single" w:sz="6" w:space="1" w:color="7A7A7A"/>
              </w:pBdr>
            </w:pPr>
            <w:r>
              <w:rPr>
                <w:rFonts w:ascii="黑体" w:hAnsi="黑体" w:eastAsia="黑体"/>
                <w:b/>
                <w:color w:val="111827"/>
                <w:sz w:val="21"/>
              </w:rPr>
              <w:t>学院审核意见</w:t>
            </w:r>
          </w:p>
          <w:p>
            <w:pPr>
              <w:spacing w:before="0" w:after="0" w:line="4535" w:lineRule="exact"/>
            </w:pPr>
          </w:p>
          <w:p>
            <w:pPr>
              <w:spacing w:before="80" w:after="80"/>
              <w:jc w:val="right"/>
              <w:pBdr>
                <w:top w:val="single" w:sz="6" w:space="1" w:color="7A7A7A"/>
              </w:pBdr>
            </w:pPr>
            <w:r>
              <w:rPr>
                <w:rFonts w:ascii="宋体" w:hAnsi="宋体" w:eastAsia="宋体"/>
                <w:b w:val="0"/>
                <w:color w:val="6B7280"/>
                <w:sz w:val="21"/>
              </w:rPr>
              <w:t>签字：＿＿＿＿＿＿＿＿　　　日期：　　年　　月　　日</w:t>
            </w:r>
          </w:p>
        </w:tc>
      </w:tr>
    </w:tbl>
    <w:p>
      <w:pPr>
        <w:spacing w:before="0" w:after="0" w:line="240" w:lineRule="exact"/>
      </w:pPr>
      <w:r>
        <w:rPr>
          <w:rFonts w:ascii="宋体" w:hAnsi="宋体" w:eastAsia="宋体"/>
          <w:b w:val="0"/>
          <w:color w:val="111827"/>
          <w:sz w:val="16"/>
        </w:rPr>
      </w:r>
    </w:p>
    <w:sectPr w:rsidR="00FC693F" w:rsidRPr="0006063C" w:rsidSect="00034616">
      <w:footerReference w:type="default" r:id="rId9"/>
      <w:pgSz w:w="11906" w:h="16838"/>
      <w:pgMar w:top="1440" w:right="1474" w:bottom="1440" w:left="1701" w:header="720" w:footer="720" w:gutter="0"/>
      <w:cols w:space="720"/>
      <w:titlePg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spacing w:before="0" w:after="0"/>
      <w:jc w:val="center"/>
    </w:pPr>
    <w:r>
      <w:rPr>
        <w:rFonts w:ascii="宋体" w:hAnsi="宋体" w:eastAsia="宋体"/>
        <w:b w:val="0"/>
        <w:color w:val="6B7280"/>
        <w:sz w:val="18"/>
      </w:rPr>
      <w:t xml:space="preserve">第 </w:t>
    </w:r>
    <w:r>
      <w:rPr>
        <w:rFonts w:ascii="宋体" w:hAnsi="宋体" w:eastAsia="宋体"/>
        <w:b w:val="0"/>
        <w:color w:val="6B7280"/>
        <w:sz w:val="18"/>
      </w:rPr>
      <w:fldChar w:fldCharType="begin"/>
    </w:r>
    <w:r>
      <w:rPr>
        <w:rFonts w:ascii="宋体" w:hAnsi="宋体" w:eastAsia="宋体"/>
        <w:b w:val="0"/>
        <w:color w:val="6B7280"/>
        <w:sz w:val="18"/>
      </w:rPr>
      <w:instrText xml:space="preserve"> PAGE </w:instrText>
    </w:r>
    <w:r>
      <w:rPr>
        <w:rFonts w:ascii="宋体" w:hAnsi="宋体" w:eastAsia="宋体"/>
        <w:b w:val="0"/>
        <w:color w:val="6B7280"/>
        <w:sz w:val="18"/>
      </w:rPr>
      <w:fldChar w:fldCharType="separate"/>
    </w:r>
    <w:r>
      <w:rPr>
        <w:rFonts w:ascii="宋体" w:hAnsi="宋体" w:eastAsia="宋体"/>
        <w:b w:val="0"/>
        <w:color w:val="6B7280"/>
        <w:sz w:val="18"/>
      </w:rPr>
      <w:t>1</w:t>
    </w:r>
    <w:r>
      <w:rPr>
        <w:rFonts w:ascii="宋体" w:hAnsi="宋体" w:eastAsia="宋体"/>
        <w:b w:val="0"/>
        <w:color w:val="6B7280"/>
        <w:sz w:val="18"/>
      </w:rPr>
      <w:fldChar w:fldCharType="end"/>
    </w:r>
    <w:r>
      <w:rPr>
        <w:rFonts w:ascii="宋体" w:hAnsi="宋体" w:eastAsia="宋体"/>
        <w:b w:val="0"/>
        <w:color w:val="6B7280"/>
        <w:sz w:val="18"/>
      </w:rPr>
      <w:t xml:space="preserve"> 页　共 </w:t>
    </w:r>
    <w:r>
      <w:rPr>
        <w:rFonts w:ascii="宋体" w:hAnsi="宋体" w:eastAsia="宋体"/>
        <w:b w:val="0"/>
        <w:color w:val="6B7280"/>
        <w:sz w:val="18"/>
      </w:rPr>
      <w:fldChar w:fldCharType="begin"/>
    </w:r>
    <w:r>
      <w:rPr>
        <w:rFonts w:ascii="宋体" w:hAnsi="宋体" w:eastAsia="宋体"/>
        <w:b w:val="0"/>
        <w:color w:val="6B7280"/>
        <w:sz w:val="18"/>
      </w:rPr>
      <w:instrText xml:space="preserve"> NUMPAGES </w:instrText>
    </w:r>
    <w:r>
      <w:rPr>
        <w:rFonts w:ascii="宋体" w:hAnsi="宋体" w:eastAsia="宋体"/>
        <w:b w:val="0"/>
        <w:color w:val="6B7280"/>
        <w:sz w:val="18"/>
      </w:rPr>
      <w:fldChar w:fldCharType="separate"/>
    </w:r>
    <w:r>
      <w:rPr>
        <w:rFonts w:ascii="宋体" w:hAnsi="宋体" w:eastAsia="宋体"/>
        <w:b w:val="0"/>
        <w:color w:val="6B7280"/>
        <w:sz w:val="18"/>
      </w:rPr>
      <w:t>1</w:t>
    </w:r>
    <w:r>
      <w:rPr>
        <w:rFonts w:ascii="宋体" w:hAnsi="宋体" w:eastAsia="宋体"/>
        <w:b w:val="0"/>
        <w:color w:val="6B7280"/>
        <w:sz w:val="18"/>
      </w:rPr>
      <w:fldChar w:fldCharType="end"/>
    </w:r>
    <w:r>
      <w:rPr>
        <w:rFonts w:ascii="宋体" w:hAnsi="宋体" w:eastAsia="宋体"/>
        <w:b w:val="0"/>
        <w:color w:val="6B7280"/>
        <w:sz w:val="18"/>
      </w:rPr>
      <w:t xml:space="preserve"> 页</w:t>
    </w:r>
  </w:p>
</w:ft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宋体" w:hAnsi="宋体" w:eastAsia="宋体"/>
      <w:sz w:val="24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footer" Target="footer1.xml"/><Relationship Id="rId10" Type="http://schemas.openxmlformats.org/officeDocument/2006/relationships/image" Target="media/image1.png"/><Relationship Id="rId11" Type="http://schemas.openxmlformats.org/officeDocument/2006/relationships/image" Target="media/image2.png"/><Relationship Id="rId12" Type="http://schemas.openxmlformats.org/officeDocument/2006/relationships/image" Target="media/image3.png"/><Relationship Id="rId13" Type="http://schemas.openxmlformats.org/officeDocument/2006/relationships/image" Target="media/image4.png"/><Relationship Id="rId14" Type="http://schemas.openxmlformats.org/officeDocument/2006/relationships/image" Target="media/image5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智农巡田——多光谱无人机作物长势监测服务</dc:title>
  <dc:subject>创业训练项目申报书</dc:subject>
  <dc:creator>示例文档</dc:creator>
  <cp:keywords>学生申报书; 示例; 排版规范</cp:keywords>
  <dc:description>虚构示例，仅用于展示申报书排版与图表规范</dc:description>
  <cp:lastModifiedBy>示例文档</cp:lastModifiedBy>
  <cp:revision>1</cp:revision>
  <dcterms:created xsi:type="dcterms:W3CDTF">2013-12-23T23:15:00Z</dcterms:created>
  <dcterms:modified xsi:type="dcterms:W3CDTF">2013-12-23T23:15:00Z</dcterms:modified>
  <cp:category/>
</cp:coreProperties>
</file>