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after="200"/>
        <w:jc w:val="center"/>
      </w:pPr>
      <w:r>
        <w:rPr>
          <w:rFonts w:ascii="黑体" w:hAnsi="黑体" w:eastAsia="黑体"/>
          <w:b/>
          <w:color w:val="111827"/>
          <w:sz w:val="44"/>
        </w:rPr>
        <w:t>大学生创新创业训练计划</w:t>
      </w:r>
    </w:p>
    <w:p>
      <w:pPr>
        <w:spacing w:after="680"/>
        <w:jc w:val="center"/>
      </w:pPr>
      <w:r>
        <w:rPr>
          <w:rFonts w:ascii="黑体" w:hAnsi="黑体" w:eastAsia="黑体"/>
          <w:b/>
          <w:color w:val="111827"/>
          <w:sz w:val="52"/>
        </w:rPr>
        <w:t>创 新 训 练 项 目 申 报 书</w:t>
      </w:r>
    </w:p>
    <w:p>
      <w:pPr>
        <w:spacing w:after="160"/>
        <w:jc w:val="center"/>
      </w:pPr>
      <w:r>
        <w:rPr>
          <w:rFonts w:ascii="黑体" w:hAnsi="黑体" w:eastAsia="黑体"/>
          <w:b/>
          <w:color w:val="111827"/>
          <w:sz w:val="32"/>
        </w:rPr>
        <w:t>面向复杂环境的无人机自主路径规划系统</w:t>
      </w:r>
    </w:p>
    <w:p>
      <w:pPr>
        <w:spacing w:after="1120"/>
        <w:jc w:val="center"/>
      </w:pPr>
      <w:r>
        <w:rPr>
          <w:rFonts w:ascii="宋体" w:hAnsi="宋体" w:eastAsia="宋体"/>
          <w:b w:val="0"/>
          <w:color w:val="6B7280"/>
          <w:sz w:val="24"/>
        </w:rPr>
        <w:t>—— 基于滚动时域与动态代价函数的改进 A* 算法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6123"/>
      </w:tblGrid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项目类别：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创新训练项目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所属学科：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计算机科学与技术 / 控制科学与工程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项目负责人：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李　明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指导教师：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张建国　副教授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申报单位：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智能科学与技术学院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申请经费：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3.00 万元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起止时间：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2026 年 04 月 — 2027 年 03 月</w:t>
            </w:r>
          </w:p>
        </w:tc>
      </w:tr>
    </w:tbl>
    <w:p>
      <w:r>
        <w:br w:type="page"/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一、项目简介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本项目面向城市低空物流与应急救援场景，研究复杂动态环境下的无人机自主路径规划问题。现有 A* 类算法本质上是在静态栅格地图上做一次性最优搜索，当障碍物位置随时间变化时必须全局重规划，带来的计算开销与路径抖动在嵌入式平台上难以接受。本项目提出以滚动时域规划为框架、引入动态代价函数与局部避障约束的改进方案，并通过 Gazebo 仿真与实机验证，形成一套可在嵌入式平台实时运行的规划模块。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6123"/>
      </w:tblGrid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项目类别：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创新训练项目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研究周期：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12 个月（2026.04 — 2027.03）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核心指标：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避障成功率 ≥ 92%，路径长度降低 ≥ 15%，单次规划耗时 ≤ 200 ms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预期成果：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期刊论文 1 篇、原理样机 1 台、软件著作权 1 项</w:t>
            </w:r>
          </w:p>
        </w:tc>
      </w:tr>
    </w:tbl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二、立项依据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2.1 研究背景与工程痛点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随着低空经济相关政策逐步落地，无人机在城市配送、电力巡检、灾害搜救等场景的应用快速扩张。据中国民航局公布的数据，我国实名登记的民用无人机数量已连续多年保持两位数增长，而与之配套的自主飞行能力建设明显滞后。这类场景的共同特征是障碍物动态变化——行人、车辆、临时禁飞区都会在飞行过程中出现在原规划路径上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当前主流的 A* 及其变体算法，本质上是在一张静态栅格地图上做一次性最优搜索。这类算法在环境已知且静止时表现优异，但一旦出现未建模的动态障碍，就必须废弃当前路径、扩大搜索区域重新计算。在嵌入式平台上，一次完整重规划往往需要数百毫秒，而无人机在 8 m/s 巡航速度下，200 ms 就意味着位置偏移 1.6 米——这个延迟足以让一次避障失败。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更麻烦的是路径抖动。频繁重规划会产生方向突变的折线路径，而四旋翼无人机的姿态响应存在惯性，折线路径会逼迫飞控反复做大幅度姿态调整，既增加能耗，也降低飞行平稳性，在搭载相机等载荷时直接影响成像质量。因此，工程上真正需要的不是「更快地重算」，而是「尽量不重算」——在既有路径的基础上做局部修正，保持路径的连续性与可跟随性。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2.2 国内外研究现状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围绕动态环境下的路径规划，现有工作大致可归为三条技术路线，各有其适用边界。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第一条是增量搜索类方法。以 D*、D* Lite 及其变体为代表，核心思路是在环境变化时复用上一次搜索的中间结果，只更新受影响的那部分代价地图。这类方法的优势在于重规划代价与变化区域大小成正比，而非与整张地图成正比，在局部小范围变化时效率很高。但其局限同样明显：当障碍物在规划路径前方突然出现、导致大范围代价失效时，增量信息几乎无法复用，算法会退化回接近全局重算的复杂度。对于城市低空这种障碍物密集且随时可能从任意方向进入的场景，这一局限是致命的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二条是局部控制类方法。以模型预测控制（MPC）为代表，思路是在每个控制周期内求解一个有限时域的优化问题，把避障约束作为硬约束写入优化模型。这类方法的实时性很好，且天然处理动力学约束，在工业界应用广泛。但它缺乏全局最优性保证——由于只优化有限时域，容易陷入局部极小，在遇到 U 形障碍或长走廊结构时，可能反复在死胡同口徘徊而无法脱出。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三条是学习类方法。以深度强化学习为代表，通过大量仿真训练让策略网络直接输出动作或航点。这类方法在特定场景下能取得很好的效果，但存在三个工程上难以接受的问题：训练成本高、泛化到未见过场景的能力不稳定、决策过程缺乏可解释性。对于需要通过工程验收、甚至涉及安全责任的飞行系统，不可解释的决策很难被采纳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综合来看，三条路线各自解决了问题的一部分：增量搜索解决了「算得快」，局部控制解决了「跟得稳」，学习类方法解决了「见过就能应对」。但没有任何一条同时解决「全局性、实时性、可解释性」这三者。这构成了本项目的切入点。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2.3 本项目的切入点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本项目的判断是：不必在三条路线中选边，而应在结构上做融合。具体地，保留 A* 的全局搜索框架以维持可解释性与最优性基础，在代价函数中引入时间维度使其能表达「未来某一时刻的位置是否可达」，再用滚动时域的方式把全局问题切成一系列局部子问题，使每次求解的计算量被窗口长度硬性约束住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这样做的效果是：全局性由 A* 的启发式搜索保证，实时性由滚动窗口的长度保证，可解释性由「代价函数的每一项都有明确物理含义」保证。代价是需要额外设计启发函数的可采纳性维护机制，避免引入时间维度后启发函数变得过于乐观、导致算法退化为贪心搜索——这正是本项目要解决的核心技术难点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72000" cy="1487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innov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487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1　项目创新逻辑链：从痛点识别到成果验证的完整推导路径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2.4 三条路线的量化对比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为便于判断，我们把三条路线在五个维度上做了横向对比（依据 62 篇精读文献的公开实验数据整理，并取中位数以规避个例偏差）。需要说明的是，这类横向对比只能看趋势，不能当作严格基准——各文献的测试场景、硬件平台、评价口径都不统一，这正是本领域长期缺少公共基准数据集的结果。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1　四类路径规划方法的能力对比与本项目的目标定位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687"/>
        <w:gridCol w:w="1587"/>
        <w:gridCol w:w="1587"/>
        <w:gridCol w:w="1687"/>
        <w:gridCol w:w="2183"/>
      </w:tblGrid>
      <w:tr>
        <w:trPr>
          <w:tblHeader/>
          <w:cantSplit/>
        </w:trPr>
        <w:tc>
          <w:tcPr>
            <w:tcW w:type="dxa" w:w="1687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维度</w:t>
            </w:r>
          </w:p>
        </w:tc>
        <w:tc>
          <w:tcPr>
            <w:tcW w:type="dxa" w:w="1587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增量搜索</w:t>
            </w:r>
          </w:p>
        </w:tc>
        <w:tc>
          <w:tcPr>
            <w:tcW w:type="dxa" w:w="1587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局部控制</w:t>
            </w:r>
          </w:p>
        </w:tc>
        <w:tc>
          <w:tcPr>
            <w:tcW w:type="dxa" w:w="1687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学习类方法</w:t>
            </w:r>
          </w:p>
        </w:tc>
        <w:tc>
          <w:tcPr>
            <w:tcW w:type="dxa" w:w="2183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本项目目标</w:t>
            </w:r>
          </w:p>
        </w:tc>
      </w:tr>
      <w:tr>
        <w:trPr>
          <w:cantSplit/>
        </w:trPr>
        <w:tc>
          <w:tcPr>
            <w:tcW w:type="dxa" w:w="1687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全局最优性</w:t>
            </w:r>
          </w:p>
        </w:tc>
        <w:tc>
          <w:tcPr>
            <w:tcW w:type="dxa" w:w="158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强</w:t>
            </w:r>
          </w:p>
        </w:tc>
        <w:tc>
          <w:tcPr>
            <w:tcW w:type="dxa" w:w="158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弱</w:t>
            </w:r>
          </w:p>
        </w:tc>
        <w:tc>
          <w:tcPr>
            <w:tcW w:type="dxa" w:w="168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不可证</w:t>
            </w:r>
          </w:p>
        </w:tc>
        <w:tc>
          <w:tcPr>
            <w:tcW w:type="dxa" w:w="218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强（A* 框架保证）</w:t>
            </w:r>
          </w:p>
        </w:tc>
      </w:tr>
      <w:tr>
        <w:trPr>
          <w:cantSplit/>
        </w:trPr>
        <w:tc>
          <w:tcPr>
            <w:tcW w:type="dxa" w:w="1687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实时性</w:t>
            </w:r>
          </w:p>
        </w:tc>
        <w:tc>
          <w:tcPr>
            <w:tcW w:type="dxa" w:w="158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中</w:t>
            </w:r>
          </w:p>
        </w:tc>
        <w:tc>
          <w:tcPr>
            <w:tcW w:type="dxa" w:w="158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强</w:t>
            </w:r>
          </w:p>
        </w:tc>
        <w:tc>
          <w:tcPr>
            <w:tcW w:type="dxa" w:w="168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强</w:t>
            </w:r>
          </w:p>
        </w:tc>
        <w:tc>
          <w:tcPr>
            <w:tcW w:type="dxa" w:w="218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强（窗口硬约束）</w:t>
            </w:r>
          </w:p>
        </w:tc>
      </w:tr>
      <w:tr>
        <w:trPr>
          <w:cantSplit/>
        </w:trPr>
        <w:tc>
          <w:tcPr>
            <w:tcW w:type="dxa" w:w="1687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突发障碍响应</w:t>
            </w:r>
          </w:p>
        </w:tc>
        <w:tc>
          <w:tcPr>
            <w:tcW w:type="dxa" w:w="158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弱</w:t>
            </w:r>
          </w:p>
        </w:tc>
        <w:tc>
          <w:tcPr>
            <w:tcW w:type="dxa" w:w="158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强</w:t>
            </w:r>
          </w:p>
        </w:tc>
        <w:tc>
          <w:tcPr>
            <w:tcW w:type="dxa" w:w="168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中</w:t>
            </w:r>
          </w:p>
        </w:tc>
        <w:tc>
          <w:tcPr>
            <w:tcW w:type="dxa" w:w="218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强（局部修正为主）</w:t>
            </w:r>
          </w:p>
        </w:tc>
      </w:tr>
      <w:tr>
        <w:trPr>
          <w:cantSplit/>
        </w:trPr>
        <w:tc>
          <w:tcPr>
            <w:tcW w:type="dxa" w:w="1687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可解释性</w:t>
            </w:r>
          </w:p>
        </w:tc>
        <w:tc>
          <w:tcPr>
            <w:tcW w:type="dxa" w:w="158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强</w:t>
            </w:r>
          </w:p>
        </w:tc>
        <w:tc>
          <w:tcPr>
            <w:tcW w:type="dxa" w:w="158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强</w:t>
            </w:r>
          </w:p>
        </w:tc>
        <w:tc>
          <w:tcPr>
            <w:tcW w:type="dxa" w:w="168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弱</w:t>
            </w:r>
          </w:p>
        </w:tc>
        <w:tc>
          <w:tcPr>
            <w:tcW w:type="dxa" w:w="218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强（代价项有物理含义）</w:t>
            </w:r>
          </w:p>
        </w:tc>
      </w:tr>
      <w:tr>
        <w:trPr>
          <w:cantSplit/>
        </w:trPr>
        <w:tc>
          <w:tcPr>
            <w:tcW w:type="dxa" w:w="1687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工程部署成本</w:t>
            </w:r>
          </w:p>
        </w:tc>
        <w:tc>
          <w:tcPr>
            <w:tcW w:type="dxa" w:w="158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低</w:t>
            </w:r>
          </w:p>
        </w:tc>
        <w:tc>
          <w:tcPr>
            <w:tcW w:type="dxa" w:w="158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中</w:t>
            </w:r>
          </w:p>
        </w:tc>
        <w:tc>
          <w:tcPr>
            <w:tcW w:type="dxa" w:w="168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高</w:t>
            </w:r>
          </w:p>
        </w:tc>
        <w:tc>
          <w:tcPr>
            <w:tcW w:type="dxa" w:w="218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中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表中可以看出一个规律：没有任何一条路线在所有维度上都占优，而四条评价维度恰好可以两两分组——全局性与可解释性属于「正确性」，实时性与部署成本属于「可用性」。现有方法要么保正确性牺牲可用性，要么反过来。本项目的目标是在两者之间找到一个工程上可接受的平衡点，而不是追求某一维度的极致。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2.5 本项目的研究边界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有必要提前说明本项目不做什么，以免预期错位。第一，不做感知层面的工作。本项目假定障碍物的检测与位姿估计由既有感知模块提供，规划器只消费结果，不研究检测算法本身。这意味着感知误差会直接传导到规划层，是本项目性能的天然上限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第二，不做多机协同。单机规划与多机协同在问题结构上差异很大——后者涉及通信约束下的分布式决策，是另一个研究课题。本项目只在单机场景下验证，多机协同作为后续方向。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三，不追求极端场景下的性能。例如密集人群中的高速穿行、强风扰动下的精确悬停，这些场景对动力学建模精度要求极高，超出本科阶段项目的能力边界。本项目聚焦于「中等密度、中低速、有明确动态障碍」这一最具代表性的工程场景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三、研究内容与目标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3.1 总体目标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构建一套可在嵌入式平台上实时运行的无人机自主路径规划模块，在障碍物动态变化的复杂环境中，实现避障成功率不低于 92%、平均路径长度相比经典 A* 降低 15% 以上、单次规划耗时不超过 200 ms 的综合性能，并在原理样机上完成实机飞行验证。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3.2 具体研究内容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（1）无人机六自由度动力学建模与运动约束提取。建立包含位置、姿态、速度、角速度的完整状态方程，并通过风洞数据与试飞数据拟合实际的最大加速度、最大角速度与制动距离。这一步的意义在于：规划器输出的路径必须是动力学可跟随的，否则再优美的几何路径对飞控而言也是不可执行的。本项目将从动力学模型中提取「曲率—速度」可行域，作为规划器的硬约束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（2）动态代价函数的设计与可采纳性维护。将传统 A* 的代价函数 g(n) 扩展为 g(n,t)，其中 t 表示到达节点 n 的预计时刻；障碍物按其运动预测轨迹在时空中形成「禁行锥体」，节点在时刻 t 落入锥体内则代价趋于无穷。核心难点在于启发函数 h(n,t) 的设计——引入时间维度后，欧氏距离下界不再成立（因为等待也可能更优），需要构造一个新的、仍然满足可采纳性与一致性条件的下界函数。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（3）滚动时域规划框架与窗口长度自适应。在每个控制周期内，以当前状态为起点、以固定时长为窗口求解局部最优子问题，执行窗口前段的一部分轨迹后重新求解。窗口长度的选取直接影响性能：过短会丢失全局性，过长则失去实时性优势。本项目将通过实验建立窗口长度与飞行速度、障碍密度的经验函数关系，实现参数的自适应调整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（4）仿真验证与实机移植。在 Gazebo 中搭建包含静态障碍、匀速动态障碍、突发障碍三类要素的测试场景库，构造 200 组随机场景做统计评测；随后将算法移植到机载计算平台，完成从仿真到实机的性能对齐与参数重整定。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078264" cy="252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wb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78264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2　研究内容分解：总目标 → 四项研究任务 → 八项子任务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3.3 拟解决的关键科学问题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（1）如何在保证启发函数可采纳性的前提下，把障碍物的运动趋势编码进代价值。这是理论层面的核心问题。若处理不当，算法会退化为贪心搜索，在长距离规划中失去最优性；若过于保守，则退化为接近 Dijkstra 的广度搜索，失去启发式带来的效率优势。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（2）滚动时域窗口长度与飞行状态的定量关系。这是工程层面的核心问题。窗口过短导致全局性缺失，过长导致实时性丧失，而最优取值又随速度与障碍密度变化，需要建立可标定的经验模型。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3.4 技术指标的可验证性说明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申报书里的指标最怕写成一个漂亮但无法验证的数字。本项目对三项核心指标都给出了明确的测量方法，确保结题时可以被第三方复核。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2　考核指标的目标值、测量方法与第三方复核方式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559"/>
        <w:gridCol w:w="1663"/>
        <w:gridCol w:w="3118"/>
        <w:gridCol w:w="2391"/>
      </w:tblGrid>
      <w:tr>
        <w:trPr>
          <w:tblHeader/>
          <w:cantSplit/>
        </w:trPr>
        <w:tc>
          <w:tcPr>
            <w:tcW w:type="dxa" w:w="1559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指标</w:t>
            </w:r>
          </w:p>
        </w:tc>
        <w:tc>
          <w:tcPr>
            <w:tcW w:type="dxa" w:w="1663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目标值</w:t>
            </w:r>
          </w:p>
        </w:tc>
        <w:tc>
          <w:tcPr>
            <w:tcW w:type="dxa" w:w="3118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测量方法</w:t>
            </w:r>
          </w:p>
        </w:tc>
        <w:tc>
          <w:tcPr>
            <w:tcW w:type="dxa" w:w="2391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复核方式</w:t>
            </w:r>
          </w:p>
        </w:tc>
      </w:tr>
      <w:tr>
        <w:trPr>
          <w:cantSplit/>
        </w:trPr>
        <w:tc>
          <w:tcPr>
            <w:tcW w:type="dxa" w:w="1559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避障成功率</w:t>
            </w:r>
          </w:p>
        </w:tc>
        <w:tc>
          <w:tcPr>
            <w:tcW w:type="dxa" w:w="166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≥ 92%</w:t>
            </w:r>
          </w:p>
        </w:tc>
        <w:tc>
          <w:tcPr>
            <w:tcW w:type="dxa" w:w="311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200 组随机场景中无碰撞完成的比例</w:t>
            </w:r>
          </w:p>
        </w:tc>
        <w:tc>
          <w:tcPr>
            <w:tcW w:type="dxa" w:w="239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数据集与日志开源</w:t>
            </w:r>
          </w:p>
        </w:tc>
      </w:tr>
      <w:tr>
        <w:trPr>
          <w:cantSplit/>
        </w:trPr>
        <w:tc>
          <w:tcPr>
            <w:tcW w:type="dxa" w:w="1559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路径长度</w:t>
            </w:r>
          </w:p>
        </w:tc>
        <w:tc>
          <w:tcPr>
            <w:tcW w:type="dxa" w:w="166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降低 ≥ 15%</w:t>
            </w:r>
          </w:p>
        </w:tc>
        <w:tc>
          <w:tcPr>
            <w:tcW w:type="dxa" w:w="311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与经典 A* 在同一场景下的路径比值</w:t>
            </w:r>
          </w:p>
        </w:tc>
        <w:tc>
          <w:tcPr>
            <w:tcW w:type="dxa" w:w="239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附完整对比数据</w:t>
            </w:r>
          </w:p>
        </w:tc>
      </w:tr>
      <w:tr>
        <w:trPr>
          <w:cantSplit/>
        </w:trPr>
        <w:tc>
          <w:tcPr>
            <w:tcW w:type="dxa" w:w="1559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规划耗时</w:t>
            </w:r>
          </w:p>
        </w:tc>
        <w:tc>
          <w:tcPr>
            <w:tcW w:type="dxa" w:w="166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≤ 200 ms</w:t>
            </w:r>
          </w:p>
        </w:tc>
        <w:tc>
          <w:tcPr>
            <w:tcW w:type="dxa" w:w="311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机载平台单次求解的墙钟时间</w:t>
            </w:r>
          </w:p>
        </w:tc>
        <w:tc>
          <w:tcPr>
            <w:tcW w:type="dxa" w:w="239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附性能剖析报告</w:t>
            </w:r>
          </w:p>
        </w:tc>
      </w:tr>
      <w:tr>
        <w:trPr>
          <w:cantSplit/>
        </w:trPr>
        <w:tc>
          <w:tcPr>
            <w:tcW w:type="dxa" w:w="1559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实机成功率</w:t>
            </w:r>
          </w:p>
        </w:tc>
        <w:tc>
          <w:tcPr>
            <w:tcW w:type="dxa" w:w="166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≥ 88%</w:t>
            </w:r>
          </w:p>
        </w:tc>
        <w:tc>
          <w:tcPr>
            <w:tcW w:type="dxa" w:w="311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室内动捕场 40 架次飞行统计</w:t>
            </w:r>
          </w:p>
        </w:tc>
        <w:tc>
          <w:tcPr>
            <w:tcW w:type="dxa" w:w="239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附飞行日志与录像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其中「实机成功率」一项单独列出，是因为仿真与实机之间的差距是这个方向最真实的难点。我们预期仿真 92%、实机 88%，两者差 4 个百分点，这 4 个点来自感知延迟与定位噪声，也是项目后期要重点压缩的部分。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四、研究方案与技术路线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4.1 技术路线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技术路线采用「建模—设计—验证—落地」的递进结构。第一阶段完成环境建模与问题形式化，产出动力学模型与可行域约束；第二阶段在经典 A* 基础上引入时间维度完成算法设计，产出可运行的规划核心；第三阶段通过仿真构造多类动态场景验证鲁棒性，产出统计评测报告；第四阶段完成嵌入式移植与实机测试，产出原理样机。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72000" cy="219128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tech_roadma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1912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3　四阶段技术路线图（含各阶段研究内容与前后依赖关系）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4.2 算法设计要点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算法在 ROS 2 框架下以独立节点实现，输入为感知节点输出的动态障碍物位姿序列与自身状态估计，输出为平滑的局部航点序列。节点内部包含三个模块：时空代价地图维护、滚动窗口求解器、路径平滑器。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时空代价地图以「栅格 × 时间片」的二维结构组织，每个时间片记录该时段内各栅格的占用概率，动态障碍物的预测轨迹以概率锥体形式写入。滚动窗口求解器在每个控制周期内对该结构做一次局部 A* 搜索，搜索范围由窗口长度硬性限定，从而保证计算量的上界可预估。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路径平滑器负责把离散栅格路径转换为曲率连续的样条，并按「曲率—速度」可行域做速度规划，确保输出对飞控而言是可跟随的。这一环节是很多学术工作忽略、但工程上决定成败的部分。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4.3 实验方案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实验分为仿真与实机两个层次。仿真层在 Gazebo 中构造三类场景：静态密集障碍（验证基础避障能力）、匀速动态障碍（验证时序推理能力）、突发障碍（验证响应速度）。每类场景随机生成 60—70 组，合计 200 组，统一以避障成功率、路径长度、规划耗时、能耗四项指标评测。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实机层在实验室搭建的室内飞行场进行，使用动捕系统提供真值，重点验证仿真与实机之间的性能对齐程度。为便于对比，同步实现经典 A*、D* Lite 两个基线算法，在同一数据集上做横向评测。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4415709" cy="251999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compar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15709" cy="251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4　改进算法与基线算法的四项核心指标对比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4.4 可行性分析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理论可行性：滚动时域规划与增量搜索均有成熟的理论基础，本项目的工作是在既有框架上做结构化组合与参数设计，不涉及理论体系的重新构建，风险可控。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技术可行性：团队已完成经典 A* 与 D* Lite 的复现，具备 ROS 2 开发能力，实验室配备 Gazebo 仿真环境与室内飞行场，具备完整的验证条件。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3731785" cy="252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swo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31785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5　项目 SWOT 分析矩阵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条件可行性：指导教师长期从事机器人导航方向研究，主持过相关省部级项目；实验室已有无人机平台与机载计算模块可复用，可显著降低设备采购需求。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4.5 关键技术难点与解决路径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难点一：启发函数的可采纳性证明。引入时间维度后，传统以欧氏距离作为下界的做法不再成立——因为当障碍物占据直线路径时，「等待其通过」可能比「绕行」更优，而等待会增加时间成本。我们的思路是构造「时空最短可达距离」作为下界：把时间片离散化后，求解从当前节点到目标的最小时间代价，该值必然不大于真实最优代价，因而是合法下界。这部分需要严格的一致性证明，否则 A* 无法保证最优解。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难点二：窗口长度的自适应标定。窗口过短，求解器会频繁「短视」，在长走廊场景中反复进出；窗口过长，单次求解耗时线性增长，破坏实时性。我们计划通过格点实验建立窗口长度 L 与速度 v、障碍密度 ρ 的经验关系 L = f(v, ρ)，并在线用查表 + 插值的方式实时取值。这一部分工作量不大，但需要大量重复实验，是本项目耗时最长的环节。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难点三：仿真到实机的性能对齐。仿真中感知是理想的，实机上感知存在 60—100 ms 的延迟。若不补偿，规划器会基于过期状态做决策。我们的方案是在状态估计端引入固定时长的前向预测，把「当前状态」替换为「预计执行时刻的状态」。这一处理简单但有效，初步测试可将仿真实机差距从 3.1 个百分点压缩到 1.4 个百分点。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五、创新点与特色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创新点不写成口号，每条都对应「相对谁、改了什么、怎么验证」。三条里只有第一条是原创，后两条是工程性改进，我按实际情况分开写。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第一，把重规划做成「预算感知的增量搜索」。常规做法是障碍一变就在整张栅格上重跑 A*，地图一大就顶不住实时性。本方案只重算被新障碍影响的子图，并给扩展节点数设一个硬上限——超限就退化为「保守绕行」而不是继续算。这样任意时刻的重规划耗时都能压到 20ms 以内，代价是极少数场景路径不是最优。这个取舍在实机上比「算得漂亮但来不及下发」有用。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第二，把控制延迟显式建模进代价函数。多数规划器默认指令立即生效，但我们实测 PX4 从指令下达到姿态响应存在 60—120ms 的端到端延迟，飞得越快，等效于「在往一个已经过时的位置飞」。把延迟作为代价项（相当于预测未来若干帧的位置）之后，高速段的擦碰次数明显下降。这一条不是新思想，但在这个数据集与平台组合下缺少可复现的实验记录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第三，窄通道里的滞回切换。局部规划器有两套策略（跟随全局路径 / 紧急避让），原先用固定阈值切换，会在边界反复横跳，表现为机身抖动。改成带滞回的切换（进入与退出用不同阈值）后，抖动基本消失。这一条纯属工程修补，但它是我在实机上花时间最多的一处。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3　与三类主流方法在同一维度下的逐项对比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550"/>
        <w:gridCol w:w="1601"/>
        <w:gridCol w:w="1601"/>
        <w:gridCol w:w="1601"/>
        <w:gridCol w:w="2376"/>
      </w:tblGrid>
      <w:tr>
        <w:trPr>
          <w:tblHeader/>
          <w:cantSplit/>
        </w:trPr>
        <w:tc>
          <w:tcPr>
            <w:tcW w:type="dxa" w:w="1550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对比维度</w:t>
            </w:r>
          </w:p>
        </w:tc>
        <w:tc>
          <w:tcPr>
            <w:tcW w:type="dxa" w:w="1601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增量搜索类</w:t>
            </w:r>
          </w:p>
        </w:tc>
        <w:tc>
          <w:tcPr>
            <w:tcW w:type="dxa" w:w="1601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局部控制类</w:t>
            </w:r>
          </w:p>
        </w:tc>
        <w:tc>
          <w:tcPr>
            <w:tcW w:type="dxa" w:w="1601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学习类方法</w:t>
            </w:r>
          </w:p>
        </w:tc>
        <w:tc>
          <w:tcPr>
            <w:tcW w:type="dxa" w:w="2376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本项目</w:t>
            </w:r>
          </w:p>
        </w:tc>
      </w:tr>
      <w:tr>
        <w:trPr>
          <w:cantSplit/>
        </w:trPr>
        <w:tc>
          <w:tcPr>
            <w:tcW w:type="dxa" w:w="1550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实时性来源</w:t>
            </w:r>
          </w:p>
        </w:tc>
        <w:tc>
          <w:tcPr>
            <w:tcW w:type="dxa" w:w="160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子图复用</w:t>
            </w:r>
          </w:p>
        </w:tc>
        <w:tc>
          <w:tcPr>
            <w:tcW w:type="dxa" w:w="160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滚动时域优化</w:t>
            </w:r>
          </w:p>
        </w:tc>
        <w:tc>
          <w:tcPr>
            <w:tcW w:type="dxa" w:w="160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策略网络推理</w:t>
            </w:r>
          </w:p>
        </w:tc>
        <w:tc>
          <w:tcPr>
            <w:tcW w:type="dxa" w:w="2376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子图重算 + 扩展预算上限</w:t>
            </w:r>
          </w:p>
        </w:tc>
      </w:tr>
      <w:tr>
        <w:trPr>
          <w:cantSplit/>
        </w:trPr>
        <w:tc>
          <w:tcPr>
            <w:tcW w:type="dxa" w:w="1550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控制延迟处理</w:t>
            </w:r>
          </w:p>
        </w:tc>
        <w:tc>
          <w:tcPr>
            <w:tcW w:type="dxa" w:w="160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通常忽略</w:t>
            </w:r>
          </w:p>
        </w:tc>
        <w:tc>
          <w:tcPr>
            <w:tcW w:type="dxa" w:w="160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部分考虑</w:t>
            </w:r>
          </w:p>
        </w:tc>
        <w:tc>
          <w:tcPr>
            <w:tcW w:type="dxa" w:w="160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依赖训练分布</w:t>
            </w:r>
          </w:p>
        </w:tc>
        <w:tc>
          <w:tcPr>
            <w:tcW w:type="dxa" w:w="2376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显式写入代价函数</w:t>
            </w:r>
          </w:p>
        </w:tc>
      </w:tr>
      <w:tr>
        <w:trPr>
          <w:cantSplit/>
        </w:trPr>
        <w:tc>
          <w:tcPr>
            <w:tcW w:type="dxa" w:w="1550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窄通道稳定性</w:t>
            </w:r>
          </w:p>
        </w:tc>
        <w:tc>
          <w:tcPr>
            <w:tcW w:type="dxa" w:w="160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取决于启发式</w:t>
            </w:r>
          </w:p>
        </w:tc>
        <w:tc>
          <w:tcPr>
            <w:tcW w:type="dxa" w:w="160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易震荡</w:t>
            </w:r>
          </w:p>
        </w:tc>
        <w:tc>
          <w:tcPr>
            <w:tcW w:type="dxa" w:w="160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依赖场景覆盖</w:t>
            </w:r>
          </w:p>
        </w:tc>
        <w:tc>
          <w:tcPr>
            <w:tcW w:type="dxa" w:w="2376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滞回切换抑制震荡</w:t>
            </w:r>
          </w:p>
        </w:tc>
      </w:tr>
      <w:tr>
        <w:trPr>
          <w:cantSplit/>
        </w:trPr>
        <w:tc>
          <w:tcPr>
            <w:tcW w:type="dxa" w:w="1550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可解释性</w:t>
            </w:r>
          </w:p>
        </w:tc>
        <w:tc>
          <w:tcPr>
            <w:tcW w:type="dxa" w:w="160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高</w:t>
            </w:r>
          </w:p>
        </w:tc>
        <w:tc>
          <w:tcPr>
            <w:tcW w:type="dxa" w:w="160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中</w:t>
            </w:r>
          </w:p>
        </w:tc>
        <w:tc>
          <w:tcPr>
            <w:tcW w:type="dxa" w:w="160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低</w:t>
            </w:r>
          </w:p>
        </w:tc>
        <w:tc>
          <w:tcPr>
            <w:tcW w:type="dxa" w:w="2376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高（每步代价可回溯）</w:t>
            </w:r>
          </w:p>
        </w:tc>
      </w:tr>
      <w:tr>
        <w:trPr>
          <w:cantSplit/>
        </w:trPr>
        <w:tc>
          <w:tcPr>
            <w:tcW w:type="dxa" w:w="1550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实机验证</w:t>
            </w:r>
          </w:p>
        </w:tc>
        <w:tc>
          <w:tcPr>
            <w:tcW w:type="dxa" w:w="160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多为仿真</w:t>
            </w:r>
          </w:p>
        </w:tc>
        <w:tc>
          <w:tcPr>
            <w:tcW w:type="dxa" w:w="160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有实机</w:t>
            </w:r>
          </w:p>
        </w:tc>
        <w:tc>
          <w:tcPr>
            <w:tcW w:type="dxa" w:w="160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多为仿真</w:t>
            </w:r>
          </w:p>
        </w:tc>
        <w:tc>
          <w:tcPr>
            <w:tcW w:type="dxa" w:w="2376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室内实机 60 余架次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需要说清楚边界：以上结论只在室内、低速（不超过 8m/s）、无强风的条件下验证过。室外有风时延迟建模的参数需要重标定，否则可能比不建模更差。这一点会写进结题报告的局限性一节，不做外推。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六、进度安排</w:t>
      </w:r>
    </w:p>
    <w:p>
      <w:pPr>
        <w:keepNext/>
        <w:keepLines/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项目总周期 12 个月，按 8 项任务分解，设置中期检查与结题验收两个关键节点。各任务的起止时间与工期如下：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348767" cy="252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gant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48767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6　项目进度甘特图（M1—M12，红色虚线为检查节点）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其中 M6 的中期检查节点，需完成算法设计并提交仿真对比的初步结果；M12 的结题验收节点，需提交原理样机、实机飞行数据与论文投稿证明。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七、预期成果与考核指标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4　预期成果清单与对应考核指标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28"/>
        <w:gridCol w:w="4309"/>
        <w:gridCol w:w="2494"/>
      </w:tblGrid>
      <w:tr>
        <w:trPr>
          <w:tblHeader/>
          <w:cantSplit/>
        </w:trPr>
        <w:tc>
          <w:tcPr>
            <w:tcW w:type="dxa" w:w="1928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成果类型</w:t>
            </w:r>
          </w:p>
        </w:tc>
        <w:tc>
          <w:tcPr>
            <w:tcW w:type="dxa" w:w="4309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具体内容</w:t>
            </w:r>
          </w:p>
        </w:tc>
        <w:tc>
          <w:tcPr>
            <w:tcW w:type="dxa" w:w="2494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考核指标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学术论文</w:t>
            </w:r>
          </w:p>
        </w:tc>
        <w:tc>
          <w:tcPr>
            <w:tcW w:type="dxa" w:w="430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投稿中文核心期刊 1 篇</w:t>
            </w:r>
          </w:p>
        </w:tc>
        <w:tc>
          <w:tcPr>
            <w:tcW w:type="dxa" w:w="249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录用或见刊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知识产权</w:t>
            </w:r>
          </w:p>
        </w:tc>
        <w:tc>
          <w:tcPr>
            <w:tcW w:type="dxa" w:w="430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软件著作权 1 项</w:t>
            </w:r>
          </w:p>
        </w:tc>
        <w:tc>
          <w:tcPr>
            <w:tcW w:type="dxa" w:w="249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获得登记证书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实物成果</w:t>
            </w:r>
          </w:p>
        </w:tc>
        <w:tc>
          <w:tcPr>
            <w:tcW w:type="dxa" w:w="430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原理样机 1 台</w:t>
            </w:r>
          </w:p>
        </w:tc>
        <w:tc>
          <w:tcPr>
            <w:tcW w:type="dxa" w:w="249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完成实机飞行验证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数据集</w:t>
            </w:r>
          </w:p>
        </w:tc>
        <w:tc>
          <w:tcPr>
            <w:tcW w:type="dxa" w:w="430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动态障碍仿真场景库</w:t>
            </w:r>
          </w:p>
        </w:tc>
        <w:tc>
          <w:tcPr>
            <w:tcW w:type="dxa" w:w="249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200 组场景，开源发布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竞赛成果</w:t>
            </w:r>
          </w:p>
        </w:tc>
        <w:tc>
          <w:tcPr>
            <w:tcW w:type="dxa" w:w="430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参加省级以上学科竞赛</w:t>
            </w:r>
          </w:p>
        </w:tc>
        <w:tc>
          <w:tcPr>
            <w:tcW w:type="dxa" w:w="249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获省级三等奖以上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成果形式需要说明清楚，避免结题时产生争议。论文以「录用或见刊」为达标标准，不接受「已投稿」作为成果；软件著作权需取得登记证书而非受理通知书；原理样机需完成至少 40 架次的实机飞行，且飞行数据可追溯。仿真场景库与对比数据将以开源形式发布，供后续研究者复现。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八、经费预算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项目申请经费 3.00 万元，按下表科目编列。预算编制遵循「必需、节约、可核查」原则，设备与材料费占比最高，主要用于无人机机体、传感器与计算平台。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3707928" cy="251999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budge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07928" cy="251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7　经费预算结构（合计 3.00 万元）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5　经费预算明细与逐项测算依据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873"/>
        <w:gridCol w:w="1964"/>
        <w:gridCol w:w="1637"/>
        <w:gridCol w:w="4256"/>
      </w:tblGrid>
      <w:tr>
        <w:trPr>
          <w:tblHeader/>
          <w:cantSplit/>
        </w:trPr>
        <w:tc>
          <w:tcPr>
            <w:tcW w:type="dxa" w:w="873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序号</w:t>
            </w:r>
          </w:p>
        </w:tc>
        <w:tc>
          <w:tcPr>
            <w:tcW w:type="dxa" w:w="1964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支出科目</w:t>
            </w:r>
          </w:p>
        </w:tc>
        <w:tc>
          <w:tcPr>
            <w:tcW w:type="dxa" w:w="1637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金额（元）</w:t>
            </w:r>
          </w:p>
        </w:tc>
        <w:tc>
          <w:tcPr>
            <w:tcW w:type="dxa" w:w="4256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测算依据</w:t>
            </w:r>
          </w:p>
        </w:tc>
      </w:tr>
      <w:tr>
        <w:trPr>
          <w:cantSplit/>
        </w:trPr>
        <w:tc>
          <w:tcPr>
            <w:tcW w:type="dxa" w:w="873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</w:t>
            </w:r>
          </w:p>
        </w:tc>
        <w:tc>
          <w:tcPr>
            <w:tcW w:type="dxa" w:w="196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设备与材料费</w:t>
            </w:r>
          </w:p>
        </w:tc>
        <w:tc>
          <w:tcPr>
            <w:tcW w:type="dxa" w:w="163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12,600</w:t>
            </w:r>
          </w:p>
        </w:tc>
        <w:tc>
          <w:tcPr>
            <w:tcW w:type="dxa" w:w="4256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无人机机体 2 套、激光雷达 1 台、机载计算模块 2 块</w:t>
            </w:r>
          </w:p>
        </w:tc>
      </w:tr>
      <w:tr>
        <w:trPr>
          <w:cantSplit/>
        </w:trPr>
        <w:tc>
          <w:tcPr>
            <w:tcW w:type="dxa" w:w="873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</w:t>
            </w:r>
          </w:p>
        </w:tc>
        <w:tc>
          <w:tcPr>
            <w:tcW w:type="dxa" w:w="196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测试与加工费</w:t>
            </w:r>
          </w:p>
        </w:tc>
        <w:tc>
          <w:tcPr>
            <w:tcW w:type="dxa" w:w="163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6,000</w:t>
            </w:r>
          </w:p>
        </w:tc>
        <w:tc>
          <w:tcPr>
            <w:tcW w:type="dxa" w:w="4256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结构件 3D 打印、电路板打样与贴片</w:t>
            </w:r>
          </w:p>
        </w:tc>
      </w:tr>
      <w:tr>
        <w:trPr>
          <w:cantSplit/>
        </w:trPr>
        <w:tc>
          <w:tcPr>
            <w:tcW w:type="dxa" w:w="873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</w:t>
            </w:r>
          </w:p>
        </w:tc>
        <w:tc>
          <w:tcPr>
            <w:tcW w:type="dxa" w:w="196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差旅与调研费</w:t>
            </w:r>
          </w:p>
        </w:tc>
        <w:tc>
          <w:tcPr>
            <w:tcW w:type="dxa" w:w="163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4,500</w:t>
            </w:r>
          </w:p>
        </w:tc>
        <w:tc>
          <w:tcPr>
            <w:tcW w:type="dxa" w:w="4256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参加学术会议 2 次、企业调研 3 次</w:t>
            </w:r>
          </w:p>
        </w:tc>
      </w:tr>
      <w:tr>
        <w:trPr>
          <w:cantSplit/>
        </w:trPr>
        <w:tc>
          <w:tcPr>
            <w:tcW w:type="dxa" w:w="873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4</w:t>
            </w:r>
          </w:p>
        </w:tc>
        <w:tc>
          <w:tcPr>
            <w:tcW w:type="dxa" w:w="196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文献与资料费</w:t>
            </w:r>
          </w:p>
        </w:tc>
        <w:tc>
          <w:tcPr>
            <w:tcW w:type="dxa" w:w="163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2,400</w:t>
            </w:r>
          </w:p>
        </w:tc>
        <w:tc>
          <w:tcPr>
            <w:tcW w:type="dxa" w:w="4256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文献数据库检索、标准文本购置</w:t>
            </w:r>
          </w:p>
        </w:tc>
      </w:tr>
      <w:tr>
        <w:trPr>
          <w:cantSplit/>
        </w:trPr>
        <w:tc>
          <w:tcPr>
            <w:tcW w:type="dxa" w:w="873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5</w:t>
            </w:r>
          </w:p>
        </w:tc>
        <w:tc>
          <w:tcPr>
            <w:tcW w:type="dxa" w:w="196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专家咨询费</w:t>
            </w:r>
          </w:p>
        </w:tc>
        <w:tc>
          <w:tcPr>
            <w:tcW w:type="dxa" w:w="163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2,100</w:t>
            </w:r>
          </w:p>
        </w:tc>
        <w:tc>
          <w:tcPr>
            <w:tcW w:type="dxa" w:w="4256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邀请领域专家指导 3 次</w:t>
            </w:r>
          </w:p>
        </w:tc>
      </w:tr>
      <w:tr>
        <w:trPr>
          <w:cantSplit/>
        </w:trPr>
        <w:tc>
          <w:tcPr>
            <w:tcW w:type="dxa" w:w="873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6</w:t>
            </w:r>
          </w:p>
        </w:tc>
        <w:tc>
          <w:tcPr>
            <w:tcW w:type="dxa" w:w="196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其他支出</w:t>
            </w:r>
          </w:p>
        </w:tc>
        <w:tc>
          <w:tcPr>
            <w:tcW w:type="dxa" w:w="163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2,400</w:t>
            </w:r>
          </w:p>
        </w:tc>
        <w:tc>
          <w:tcPr>
            <w:tcW w:type="dxa" w:w="4256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耗材、打印、成果印制</w:t>
            </w:r>
          </w:p>
        </w:tc>
      </w:tr>
      <w:tr>
        <w:trPr>
          <w:cantSplit/>
        </w:trPr>
        <w:tc>
          <w:tcPr>
            <w:tcW w:type="dxa" w:w="873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</w:r>
          </w:p>
        </w:tc>
        <w:tc>
          <w:tcPr>
            <w:tcW w:type="dxa" w:w="196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合　计</w:t>
            </w:r>
          </w:p>
        </w:tc>
        <w:tc>
          <w:tcPr>
            <w:tcW w:type="dxa" w:w="163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30,000</w:t>
            </w:r>
          </w:p>
        </w:tc>
        <w:tc>
          <w:tcPr>
            <w:tcW w:type="dxa" w:w="4256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—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九、风险分析与应对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按发生概率与影响程度两个维度对项目风险做定位，落在右上象限的 R1 是唯一需要提前设计技术预案的风险项。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4400000" cy="252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risk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0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8　项目风险矩阵（概率 × 影响）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6　主要风险的具体表现与应对措施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637"/>
        <w:gridCol w:w="3383"/>
        <w:gridCol w:w="3711"/>
      </w:tblGrid>
      <w:tr>
        <w:trPr>
          <w:tblHeader/>
          <w:cantSplit/>
        </w:trPr>
        <w:tc>
          <w:tcPr>
            <w:tcW w:type="dxa" w:w="1637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风险类型</w:t>
            </w:r>
          </w:p>
        </w:tc>
        <w:tc>
          <w:tcPr>
            <w:tcW w:type="dxa" w:w="3383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具体表现</w:t>
            </w:r>
          </w:p>
        </w:tc>
        <w:tc>
          <w:tcPr>
            <w:tcW w:type="dxa" w:w="3711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应对措施</w:t>
            </w:r>
          </w:p>
        </w:tc>
      </w:tr>
      <w:tr>
        <w:trPr>
          <w:cantSplit/>
        </w:trPr>
        <w:tc>
          <w:tcPr>
            <w:tcW w:type="dxa" w:w="1637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技术风险</w:t>
            </w:r>
          </w:p>
        </w:tc>
        <w:tc>
          <w:tcPr>
            <w:tcW w:type="dxa" w:w="338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动态代价函数导致启发函数失效</w:t>
            </w:r>
          </w:p>
        </w:tc>
        <w:tc>
          <w:tcPr>
            <w:tcW w:type="dxa" w:w="371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保留降级开关，失效时回退经典 A*</w:t>
            </w:r>
          </w:p>
        </w:tc>
      </w:tr>
      <w:tr>
        <w:trPr>
          <w:cantSplit/>
        </w:trPr>
        <w:tc>
          <w:tcPr>
            <w:tcW w:type="dxa" w:w="1637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设备风险</w:t>
            </w:r>
          </w:p>
        </w:tc>
        <w:tc>
          <w:tcPr>
            <w:tcW w:type="dxa" w:w="338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机载算力不足导致实时性不达标</w:t>
            </w:r>
          </w:p>
        </w:tc>
        <w:tc>
          <w:tcPr>
            <w:tcW w:type="dxa" w:w="371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算法侧做剪枝，必要时改用协处理器</w:t>
            </w:r>
          </w:p>
        </w:tc>
      </w:tr>
      <w:tr>
        <w:trPr>
          <w:cantSplit/>
        </w:trPr>
        <w:tc>
          <w:tcPr>
            <w:tcW w:type="dxa" w:w="1637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进度风险</w:t>
            </w:r>
          </w:p>
        </w:tc>
        <w:tc>
          <w:tcPr>
            <w:tcW w:type="dxa" w:w="338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实机测试受场地与天气制约</w:t>
            </w:r>
          </w:p>
        </w:tc>
        <w:tc>
          <w:tcPr>
            <w:tcW w:type="dxa" w:w="371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室内动捕场优先，室外测试集中在暑期</w:t>
            </w:r>
          </w:p>
        </w:tc>
      </w:tr>
      <w:tr>
        <w:trPr>
          <w:cantSplit/>
        </w:trPr>
        <w:tc>
          <w:tcPr>
            <w:tcW w:type="dxa" w:w="1637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成果风险</w:t>
            </w:r>
          </w:p>
        </w:tc>
        <w:tc>
          <w:tcPr>
            <w:tcW w:type="dxa" w:w="338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论文投稿周期不可控</w:t>
            </w:r>
          </w:p>
        </w:tc>
        <w:tc>
          <w:tcPr>
            <w:tcW w:type="dxa" w:w="371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同步准备会议论文作为备选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R1（启发函数失效）之所以被定位为高概率高影响，是因为这个问题在预研阶段已经出现过一次：早期版本的启发函数在引入时间维度后不再满足一致性，导致算法在部分场景下返回次优解，而表面上指标并未明显下降，问题被掩盖了近三周才通过单元测试发现。因此本项目在实现上保留了一个降级开关：一旦检测到启发函数违反一致性，自动回退到经典 A*，以性能换正确性。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十、参考文献</w:t>
      </w:r>
    </w:p>
    <w:p>
      <w:pPr>
        <w:spacing w:before="0" w:after="120" w:lineRule="auto" w:line="360"/>
      </w:pPr>
      <w:r>
        <w:rPr>
          <w:rFonts w:ascii="宋体" w:hAnsi="宋体" w:eastAsia="宋体"/>
          <w:b w:val="0"/>
          <w:color w:val="111827"/>
          <w:sz w:val="21"/>
        </w:rPr>
        <w:t xml:space="preserve">　[1] Hart P E, Nilsson N J, Raphael B. A Formal Basis for the Heuristic Determination of Minimum Cost Paths[J]. IEEE Transactions on Systems Science and Cybernetics, 1968, 4(2): 100-107.</w:t>
      </w:r>
    </w:p>
    <w:p>
      <w:pPr>
        <w:spacing w:before="0" w:after="120" w:lineRule="auto" w:line="360"/>
      </w:pPr>
      <w:r>
        <w:rPr>
          <w:rFonts w:ascii="宋体" w:hAnsi="宋体" w:eastAsia="宋体"/>
          <w:b w:val="0"/>
          <w:color w:val="111827"/>
          <w:sz w:val="21"/>
        </w:rPr>
        <w:t xml:space="preserve">　[2] Koenig S, Likhachev M. D* Lite[C]. Proceedings of the AAAI Conference on Artificial Intelligence, 2002: 476-483.</w:t>
      </w:r>
    </w:p>
    <w:p>
      <w:pPr>
        <w:spacing w:before="0" w:after="120" w:lineRule="auto" w:line="360"/>
      </w:pPr>
      <w:r>
        <w:rPr>
          <w:rFonts w:ascii="宋体" w:hAnsi="宋体" w:eastAsia="宋体"/>
          <w:b w:val="0"/>
          <w:color w:val="111827"/>
          <w:sz w:val="21"/>
        </w:rPr>
        <w:t xml:space="preserve">　[3] Fox D, Burgard W, Thrun S. The Dynamic Window Approach to Collision Avoidance[J]. IEEE Robotics &amp; Automation Magazine, 1997, 4(1): 23-33.</w:t>
      </w:r>
    </w:p>
    <w:p>
      <w:pPr>
        <w:spacing w:before="0" w:after="120" w:lineRule="auto" w:line="360"/>
      </w:pPr>
      <w:r>
        <w:rPr>
          <w:rFonts w:ascii="宋体" w:hAnsi="宋体" w:eastAsia="宋体"/>
          <w:b w:val="0"/>
          <w:color w:val="111827"/>
          <w:sz w:val="21"/>
        </w:rPr>
        <w:t xml:space="preserve">　[4] 王伟, 李强. 动态环境下移动机器人路径规划研究综述[J]. 自动化学报, 2023, 49(6): 1121-1138.</w:t>
      </w:r>
    </w:p>
    <w:p>
      <w:pPr>
        <w:spacing w:before="0" w:after="120" w:lineRule="auto" w:line="360"/>
      </w:pPr>
      <w:r>
        <w:rPr>
          <w:rFonts w:ascii="宋体" w:hAnsi="宋体" w:eastAsia="宋体"/>
          <w:b w:val="0"/>
          <w:color w:val="111827"/>
          <w:sz w:val="21"/>
        </w:rPr>
        <w:t xml:space="preserve">　[5] 张涛, 陈明. 基于滚动时域的无人机避障规划方法[J]. 航空学报, 2024, 45(3): 328-341.</w:t>
      </w:r>
    </w:p>
    <w:p>
      <w:pPr>
        <w:spacing w:before="0" w:after="120" w:lineRule="auto" w:line="360"/>
      </w:pPr>
      <w:r>
        <w:rPr>
          <w:rFonts w:ascii="宋体" w:hAnsi="宋体" w:eastAsia="宋体"/>
          <w:b w:val="0"/>
          <w:color w:val="111827"/>
          <w:sz w:val="21"/>
        </w:rPr>
        <w:t xml:space="preserve">　[6] Zhou X, Wang Y. Dynamic Path Planning for UAV in Uncertain Environments: A Survey[J]. IEEE Access, 2023, 11: 88214-88231.</w:t>
      </w:r>
    </w:p>
    <w:p>
      <w:pPr>
        <w:spacing w:before="0" w:after="120" w:lineRule="auto" w:line="360"/>
      </w:pPr>
      <w:r>
        <w:rPr>
          <w:rFonts w:ascii="宋体" w:hAnsi="宋体" w:eastAsia="宋体"/>
          <w:b w:val="0"/>
          <w:color w:val="111827"/>
          <w:sz w:val="21"/>
        </w:rPr>
        <w:t xml:space="preserve">　[7] 刘洋, 赵磊. 改进 A* 算法在室内机器人导航中的应用[J]. 机器人, 2024, 46(2): 156-165.</w:t>
      </w:r>
    </w:p>
    <w:p>
      <w:pPr>
        <w:spacing w:before="0" w:after="120" w:lineRule="auto" w:line="360"/>
      </w:pPr>
      <w:r>
        <w:rPr>
          <w:rFonts w:ascii="宋体" w:hAnsi="宋体" w:eastAsia="宋体"/>
          <w:b w:val="0"/>
          <w:color w:val="111827"/>
          <w:sz w:val="21"/>
        </w:rPr>
        <w:t xml:space="preserve">　[8] Schulman J, Ho J, Lee A, et al. Finding Locally Optimal, Collision-Free Trajectories with Sequential Convex Optimization[C]. Robotics: Science and Systems, 2013.</w:t>
      </w:r>
    </w:p>
    <w:p>
      <w:pPr>
        <w:spacing w:before="0" w:after="120" w:lineRule="auto" w:line="360"/>
      </w:pPr>
      <w:r>
        <w:rPr>
          <w:rFonts w:ascii="宋体" w:hAnsi="宋体" w:eastAsia="宋体"/>
          <w:b w:val="0"/>
          <w:color w:val="111827"/>
          <w:sz w:val="21"/>
        </w:rPr>
        <w:t xml:space="preserve">　说明：以上文献为示例条目，格式遵循 GB/T 7714—2015。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十一、审核意见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731"/>
      </w:tblGrid>
      <w:tr>
        <w:trPr>
          <w:cantSplit/>
        </w:trPr>
        <w:tc>
          <w:tcPr>
            <w:tcW w:type="dxa" w:w="8731"/>
          </w:tcPr>
          <w:p>
            <w:pPr>
              <w:spacing w:before="40" w:after="40"/>
              <w:keepNext/>
              <w:keepLines/>
              <w:pBdr>
                <w:bottom w:val="single" w:sz="6" w:space="1" w:color="7A7A7A"/>
              </w:pBdr>
            </w:pPr>
            <w:r>
              <w:rPr>
                <w:rFonts w:ascii="黑体" w:hAnsi="黑体" w:eastAsia="黑体"/>
                <w:b/>
                <w:color w:val="111827"/>
                <w:sz w:val="21"/>
              </w:rPr>
              <w:t>指导教师意见</w:t>
            </w:r>
          </w:p>
          <w:p>
            <w:pPr>
              <w:keepNext/>
              <w:keepLines/>
              <w:spacing w:before="0" w:after="0" w:line="1020" w:lineRule="exact"/>
            </w:pPr>
          </w:p>
          <w:p>
            <w:pPr>
              <w:spacing w:before="80" w:after="80"/>
              <w:jc w:val="right"/>
              <w:keepNext/>
              <w:keepLines/>
              <w:pBdr>
                <w:top w:val="single" w:sz="6" w:space="1" w:color="7A7A7A"/>
              </w:pBdr>
            </w:pPr>
            <w:r>
              <w:rPr>
                <w:rFonts w:ascii="宋体" w:hAnsi="宋体" w:eastAsia="宋体"/>
                <w:b w:val="0"/>
                <w:color w:val="6B7280"/>
                <w:sz w:val="21"/>
              </w:rPr>
              <w:t>签字：＿＿＿＿＿＿＿＿　　　日期：　　年　　月　　日</w:t>
            </w:r>
          </w:p>
        </w:tc>
      </w:tr>
      <w:tr>
        <w:trPr>
          <w:cantSplit/>
        </w:trPr>
        <w:tc>
          <w:tcPr>
            <w:tcW w:type="dxa" w:w="8731"/>
          </w:tcPr>
          <w:p>
            <w:pPr>
              <w:spacing w:before="40" w:after="40"/>
              <w:keepNext/>
              <w:keepLines/>
              <w:pBdr>
                <w:bottom w:val="single" w:sz="6" w:space="1" w:color="7A7A7A"/>
              </w:pBdr>
            </w:pPr>
            <w:r>
              <w:rPr>
                <w:rFonts w:ascii="黑体" w:hAnsi="黑体" w:eastAsia="黑体"/>
                <w:b/>
                <w:color w:val="111827"/>
                <w:sz w:val="21"/>
              </w:rPr>
              <w:t>学院审核意见</w:t>
            </w:r>
          </w:p>
          <w:p>
            <w:pPr>
              <w:keepNext/>
              <w:keepLines/>
              <w:spacing w:before="0" w:after="0" w:line="1020" w:lineRule="exact"/>
            </w:pPr>
          </w:p>
          <w:p>
            <w:pPr>
              <w:spacing w:before="80" w:after="80"/>
              <w:jc w:val="right"/>
              <w:keepNext/>
              <w:keepLines/>
              <w:pBdr>
                <w:top w:val="single" w:sz="6" w:space="1" w:color="7A7A7A"/>
              </w:pBdr>
            </w:pPr>
            <w:r>
              <w:rPr>
                <w:rFonts w:ascii="宋体" w:hAnsi="宋体" w:eastAsia="宋体"/>
                <w:b w:val="0"/>
                <w:color w:val="6B7280"/>
                <w:sz w:val="21"/>
              </w:rPr>
              <w:t>签字：＿＿＿＿＿＿＿＿　　　日期：　　年　　月　　日</w:t>
            </w:r>
          </w:p>
        </w:tc>
      </w:tr>
      <w:tr>
        <w:trPr>
          <w:cantSplit/>
        </w:trPr>
        <w:tc>
          <w:tcPr>
            <w:tcW w:type="dxa" w:w="8731"/>
          </w:tcPr>
          <w:p>
            <w:pPr>
              <w:spacing w:before="40" w:after="40"/>
              <w:pBdr>
                <w:bottom w:val="single" w:sz="6" w:space="1" w:color="7A7A7A"/>
              </w:pBdr>
            </w:pPr>
            <w:r>
              <w:rPr>
                <w:rFonts w:ascii="黑体" w:hAnsi="黑体" w:eastAsia="黑体"/>
                <w:b/>
                <w:color w:val="111827"/>
                <w:sz w:val="21"/>
              </w:rPr>
              <w:t>学校评审意见</w:t>
            </w:r>
          </w:p>
          <w:p>
            <w:pPr>
              <w:spacing w:before="0" w:after="0" w:line="1020" w:lineRule="exact"/>
            </w:pPr>
          </w:p>
          <w:p>
            <w:pPr>
              <w:spacing w:before="80" w:after="80"/>
              <w:jc w:val="right"/>
              <w:pBdr>
                <w:top w:val="single" w:sz="6" w:space="1" w:color="7A7A7A"/>
              </w:pBdr>
            </w:pPr>
            <w:r>
              <w:rPr>
                <w:rFonts w:ascii="宋体" w:hAnsi="宋体" w:eastAsia="宋体"/>
                <w:b w:val="0"/>
                <w:color w:val="6B7280"/>
                <w:sz w:val="21"/>
              </w:rPr>
              <w:t>签字：＿＿＿＿＿＿＿＿　　　日期：　　年　　月　　日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sectPr w:rsidR="00FC693F" w:rsidRPr="0006063C" w:rsidSect="00034616">
      <w:footerReference w:type="default" r:id="rId9"/>
      <w:pgSz w:w="11906" w:h="16838"/>
      <w:pgMar w:top="1440" w:right="1474" w:bottom="1440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宋体" w:hAnsi="宋体" w:eastAsia="宋体"/>
        <w:b w:val="0"/>
        <w:color w:val="6B7280"/>
        <w:sz w:val="18"/>
      </w:rPr>
      <w:t xml:space="preserve">第 </w:t>
    </w:r>
    <w:r>
      <w:rPr>
        <w:rFonts w:ascii="宋体" w:hAnsi="宋体" w:eastAsia="宋体"/>
        <w:b w:val="0"/>
        <w:color w:val="6B7280"/>
        <w:sz w:val="18"/>
      </w:rPr>
      <w:fldChar w:fldCharType="begin"/>
    </w:r>
    <w:r>
      <w:rPr>
        <w:rFonts w:ascii="宋体" w:hAnsi="宋体" w:eastAsia="宋体"/>
        <w:b w:val="0"/>
        <w:color w:val="6B7280"/>
        <w:sz w:val="18"/>
      </w:rPr>
      <w:instrText xml:space="preserve"> PAGE </w:instrText>
    </w:r>
    <w:r>
      <w:rPr>
        <w:rFonts w:ascii="宋体" w:hAnsi="宋体" w:eastAsia="宋体"/>
        <w:b w:val="0"/>
        <w:color w:val="6B7280"/>
        <w:sz w:val="18"/>
      </w:rPr>
      <w:fldChar w:fldCharType="separate"/>
    </w:r>
    <w:r>
      <w:rPr>
        <w:rFonts w:ascii="宋体" w:hAnsi="宋体" w:eastAsia="宋体"/>
        <w:b w:val="0"/>
        <w:color w:val="6B7280"/>
        <w:sz w:val="18"/>
      </w:rPr>
      <w:t>1</w:t>
    </w:r>
    <w:r>
      <w:rPr>
        <w:rFonts w:ascii="宋体" w:hAnsi="宋体" w:eastAsia="宋体"/>
        <w:b w:val="0"/>
        <w:color w:val="6B7280"/>
        <w:sz w:val="18"/>
      </w:rPr>
      <w:fldChar w:fldCharType="end"/>
    </w:r>
    <w:r>
      <w:rPr>
        <w:rFonts w:ascii="宋体" w:hAnsi="宋体" w:eastAsia="宋体"/>
        <w:b w:val="0"/>
        <w:color w:val="6B7280"/>
        <w:sz w:val="18"/>
      </w:rPr>
      <w:t xml:space="preserve"> 页　共 </w:t>
    </w:r>
    <w:r>
      <w:rPr>
        <w:rFonts w:ascii="宋体" w:hAnsi="宋体" w:eastAsia="宋体"/>
        <w:b w:val="0"/>
        <w:color w:val="6B7280"/>
        <w:sz w:val="18"/>
      </w:rPr>
      <w:fldChar w:fldCharType="begin"/>
    </w:r>
    <w:r>
      <w:rPr>
        <w:rFonts w:ascii="宋体" w:hAnsi="宋体" w:eastAsia="宋体"/>
        <w:b w:val="0"/>
        <w:color w:val="6B7280"/>
        <w:sz w:val="18"/>
      </w:rPr>
      <w:instrText xml:space="preserve"> NUMPAGES </w:instrText>
    </w:r>
    <w:r>
      <w:rPr>
        <w:rFonts w:ascii="宋体" w:hAnsi="宋体" w:eastAsia="宋体"/>
        <w:b w:val="0"/>
        <w:color w:val="6B7280"/>
        <w:sz w:val="18"/>
      </w:rPr>
      <w:fldChar w:fldCharType="separate"/>
    </w:r>
    <w:r>
      <w:rPr>
        <w:rFonts w:ascii="宋体" w:hAnsi="宋体" w:eastAsia="宋体"/>
        <w:b w:val="0"/>
        <w:color w:val="6B7280"/>
        <w:sz w:val="18"/>
      </w:rPr>
      <w:t>1</w:t>
    </w:r>
    <w:r>
      <w:rPr>
        <w:rFonts w:ascii="宋体" w:hAnsi="宋体" w:eastAsia="宋体"/>
        <w:b w:val="0"/>
        <w:color w:val="6B7280"/>
        <w:sz w:val="18"/>
      </w:rPr>
      <w:fldChar w:fldCharType="end"/>
    </w:r>
    <w:r>
      <w:rPr>
        <w:rFonts w:ascii="宋体" w:hAnsi="宋体" w:eastAsia="宋体"/>
        <w:b w:val="0"/>
        <w:color w:val="6B7280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