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exact" w:line="3969"/>
      </w:pPr>
      <w:r/>
    </w:p>
    <w:p>
      <w:pPr>
        <w:spacing w:after="200"/>
        <w:jc w:val="center"/>
      </w:pPr>
      <w:r>
        <w:rPr>
          <w:rFonts w:ascii="黑体" w:hAnsi="黑体" w:eastAsia="黑体"/>
          <w:b/>
          <w:color w:val="111827"/>
          <w:sz w:val="44"/>
        </w:rPr>
        <w:t>中国国际大学生创新大赛</w:t>
      </w:r>
    </w:p>
    <w:p>
      <w:pPr>
        <w:spacing w:after="680"/>
        <w:jc w:val="center"/>
      </w:pPr>
      <w:r>
        <w:rPr>
          <w:rFonts w:ascii="黑体" w:hAnsi="黑体" w:eastAsia="黑体"/>
          <w:b/>
          <w:color w:val="111827"/>
          <w:sz w:val="52"/>
        </w:rPr>
        <w:t>商业计划书</w:t>
      </w:r>
    </w:p>
    <w:p>
      <w:pPr>
        <w:spacing w:after="160"/>
        <w:jc w:val="center"/>
      </w:pPr>
      <w:r>
        <w:rPr>
          <w:rFonts w:ascii="黑体" w:hAnsi="黑体" w:eastAsia="黑体"/>
          <w:b/>
          <w:color w:val="111827"/>
          <w:sz w:val="32"/>
        </w:rPr>
        <w:t>智农巡田</w:t>
      </w:r>
    </w:p>
    <w:p>
      <w:pPr>
        <w:spacing w:after="1120"/>
        <w:jc w:val="center"/>
      </w:pPr>
      <w:r>
        <w:rPr>
          <w:rFonts w:ascii="宋体" w:hAnsi="宋体" w:eastAsia="宋体"/>
          <w:b w:val="0"/>
          <w:color w:val="6B7280"/>
          <w:sz w:val="24"/>
        </w:rPr>
        <w:t>—— 面向县域种植户的多光谱无人机农情监测服务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6123"/>
      </w:tblGrid>
      <w:tr>
        <w:trPr>
          <w:cantSplit/>
        </w:trP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参赛赛道：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高教主赛道 · 初创组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项目负责人：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王　浩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团队成员：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5 人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注册主体：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××智农科技有限公司（拟注册）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融资金额：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300 万元（出让 12% 股权）</w:t>
            </w:r>
          </w:p>
        </w:tc>
      </w:tr>
    </w:tbl>
    <w:p>
      <w:r>
        <w:br w:type="page"/>
      </w:r>
    </w:p>
    <w:p>
      <w:pPr>
        <w:keepNext/>
        <w:keepLines/>
        <w:spacing w:before="280" w:after="140" w:line="360" w:lineRule="auto"/>
        <w:outlineLvl w:val="0"/>
      </w:pPr>
      <w:r>
        <w:rPr>
          <w:rFonts w:ascii="黑体" w:hAnsi="黑体" w:eastAsia="黑体"/>
          <w:b/>
          <w:color w:val="111827"/>
          <w:sz w:val="30"/>
        </w:rPr>
        <w:t>一、项目摘要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智农巡田以按亩计费的方式，为县域 50—500 亩规模种植户提供作物长势监测与病虫害预警服务。单次作业效率是人工巡田的 12 倍，成本下降 60%，预警准确率 91%。目前已在 3 家合作社完成试点，服务 4200 亩次，复购率 100%。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6123"/>
      </w:tblGrid>
      <w:tr>
        <w:trPr>
          <w:cantSplit/>
        </w:trP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解决什么问题：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基层植保监测能力不足，病虫害发现滞后 5—7 天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怎么解决：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多光谱无人机 + 长势模型 + 微信小程序交付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怎么赚钱：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按亩次服务费 + 农资集采佣金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现在到哪一步：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试点验证完成，准备区域复制</w:t>
            </w:r>
          </w:p>
        </w:tc>
      </w:tr>
    </w:tbl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这个项目不是先有技术再找场景，而是先算了一笔账。一个 200 亩的种粮大户，雇人巡一遍田需要 2 个人干一整天，人均日工资 150 元，一次就是 300 元；一个生长季巡 6 次，1800 元。用无人机巡一遍，20 分钟飞完，单次成本不到 60 元。差价摆在这里，农户不是不愿意用，是不知道去哪找、也不确定飞完给的报告有没有用。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所以我们做的不是「卖无人机服务」，而是「把巡田这件事变成一次下单」。农户在小程序上圈出地块，选择档位，48 小时内收到一份能看懂的简报——哪几块地长势偏弱、哪几块有病虫害迹象、建议什么时候打药。这套东西的技术门槛不高，难的是把交付做得足够简单。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这个时间点做这件事，有三个外部条件同时成立。一是农村劳动力结构变了：我们走访的三个县，50 岁以上种植户占 63%，「看得见长势、看不清病虫」是普遍状态；二是设备成本降了：一台多光谱无人机从 2019 年的 12 万元降到 4 万元以内，使「按亩收费」的模式第一次算得过来；三是服务组织起来了：三个县共有 27 家农机合作社，他们有设备、有渠道，缺的是能把数据变成决策的产品。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我们的位置就在这个缺口上：不卖设备，不做飞防，只做「监测—判断—建议」这一段，把结果以每亩 8 元的价格卖给合作社与规模种植户。一年内的目标写得很具体：跑通 3 个县、服务 3.6 万亩、单亩毛利稳定在 3.6 元、复购率不低于 85%。这些数字不是愿景，是这一轮融资要对赌的交付物。</w:t>
      </w:r>
    </w:p>
    <w:p>
      <w:pPr>
        <w:keepNext/>
        <w:keepLines/>
        <w:spacing w:before="280" w:after="140" w:line="360" w:lineRule="auto"/>
        <w:outlineLvl w:val="0"/>
      </w:pPr>
      <w:r>
        <w:rPr>
          <w:rFonts w:ascii="黑体" w:hAnsi="黑体" w:eastAsia="黑体"/>
          <w:b/>
          <w:color w:val="111827"/>
          <w:sz w:val="30"/>
        </w:rPr>
        <w:t>二、行业与市场分析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目标市场为县域农业社会化服务市场。按全国 18 亿亩耕地、年巡田 4 次、单次 8 元/亩测算，理论市场空间约 576 亿元；聚焦 50 亩以上规模种植户，可服务面积约 6 亿亩，对应 192 亿元（见表 1）。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1　TAM / SAM / SOM 三层市场规模与测算依据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321"/>
        <w:gridCol w:w="1989"/>
        <w:gridCol w:w="4421"/>
      </w:tblGrid>
      <w:tr>
        <w:trPr>
          <w:tblHeader/>
          <w:cantSplit/>
        </w:trPr>
        <w:tc>
          <w:tcPr>
            <w:tcW w:type="dxa" w:w="2321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市场层级</w:t>
            </w:r>
          </w:p>
        </w:tc>
        <w:tc>
          <w:tcPr>
            <w:tcW w:type="dxa" w:w="1989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规模</w:t>
            </w:r>
          </w:p>
        </w:tc>
        <w:tc>
          <w:tcPr>
            <w:tcW w:type="dxa" w:w="4421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测算依据</w:t>
            </w:r>
          </w:p>
        </w:tc>
      </w:tr>
      <w:tr>
        <w:trPr>
          <w:cantSplit/>
        </w:trPr>
        <w:tc>
          <w:tcPr>
            <w:tcW w:type="dxa" w:w="2321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TAM 总体市场</w:t>
            </w:r>
          </w:p>
        </w:tc>
        <w:tc>
          <w:tcPr>
            <w:tcW w:type="dxa" w:w="198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576 亿元</w:t>
            </w:r>
          </w:p>
        </w:tc>
        <w:tc>
          <w:tcPr>
            <w:tcW w:type="dxa" w:w="442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18 亿亩 × 4 次 × 8 元/亩</w:t>
            </w:r>
          </w:p>
        </w:tc>
      </w:tr>
      <w:tr>
        <w:trPr>
          <w:cantSplit/>
        </w:trPr>
        <w:tc>
          <w:tcPr>
            <w:tcW w:type="dxa" w:w="2321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SAM 可服务市场</w:t>
            </w:r>
          </w:p>
        </w:tc>
        <w:tc>
          <w:tcPr>
            <w:tcW w:type="dxa" w:w="198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192 亿元</w:t>
            </w:r>
          </w:p>
        </w:tc>
        <w:tc>
          <w:tcPr>
            <w:tcW w:type="dxa" w:w="442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规模种植户 6 亿亩</w:t>
            </w:r>
          </w:p>
        </w:tc>
      </w:tr>
      <w:tr>
        <w:trPr>
          <w:cantSplit/>
        </w:trPr>
        <w:tc>
          <w:tcPr>
            <w:tcW w:type="dxa" w:w="2321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SOM 可获取市场</w:t>
            </w:r>
          </w:p>
        </w:tc>
        <w:tc>
          <w:tcPr>
            <w:tcW w:type="dxa" w:w="198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0.96 亿元</w:t>
            </w:r>
          </w:p>
        </w:tc>
        <w:tc>
          <w:tcPr>
            <w:tcW w:type="dxa" w:w="442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首期 3 个县、300 万亩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keepNext/>
        <w:keepLines/>
        <w:spacing w:before="200" w:after="100" w:line="360" w:lineRule="auto"/>
        <w:outlineLvl w:val="1"/>
      </w:pPr>
      <w:r>
        <w:rPr>
          <w:rFonts w:ascii="黑体" w:hAnsi="黑体" w:eastAsia="黑体"/>
          <w:b/>
          <w:color w:val="111827"/>
          <w:sz w:val="25"/>
        </w:rPr>
        <w:t>2.1 竞争格局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市场参与者可以分为三类，各自的战略重心决定了他们不会认真做监测这件事。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一类是植保无人机厂商（大疆农业、极飞等）。他们的商业模式是卖硬件与耗材，喷洒作业是主战场，监测只是随机附赠的软件功能，精度与交付深度都不足以支撑「预警」这个动作。第二类是农服平台（如各类土地托管平台），他们掌握流量与农户关系，但采集能力依赖第三方，数据不沉淀在自己手里。第三类是各地零散的飞防队，设备与技术参差，服务标准化程度低，客户复购完全靠人情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这三类都不做「以监测为核心交付物」的生意。原因很简单：监测的客单价低、交付重（要出报告、要做解读），不如喷洒来钱快。但恰恰是这块被忽略的部分，决定了农户下一季用什么药、什么时候用——这是农资销售的入口。我们判断，监测本身可以微利甚至保本，真正的利润在数据驱动的农资集采。</w:t>
      </w:r>
    </w:p>
    <w:p>
      <w:pPr>
        <w:keepNext/>
        <w:keepLines/>
        <w:spacing w:before="200" w:after="100" w:line="360" w:lineRule="auto"/>
        <w:outlineLvl w:val="1"/>
      </w:pPr>
      <w:r>
        <w:rPr>
          <w:rFonts w:ascii="黑体" w:hAnsi="黑体" w:eastAsia="黑体"/>
          <w:b/>
          <w:color w:val="111827"/>
          <w:sz w:val="25"/>
        </w:rPr>
        <w:t>2.2 用户调研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去年 9 月到 11 月，团队在本地 3 个县走访了 47 位种植户，做了半结构化访谈。三个发现直接改变了产品设计。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一，种植户最痛的不是「不知道长势」，而是「不知道要不要打药」。长势好坏他们自己能看出来，真正需要判断的是病虫害的早期迹象与用药时机。因此我们把报告的重点从「长势分级」调整为「是否建议打药、建议什么药」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第二，价格敏感度远低于预期。我们最初担心 8 元/亩没人买，访谈发现 47 人中有 31 人认为「只要能提前发现问题，20 元以内都能接受」。真正的障碍不是价格，是「不知道效果」——这也解释了为什么首年必须做效果付费。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第三，信任建立在人而非产品上。47 人中只有 4 人会独立使用 App 下单，其余都表示「要有熟人带着才用」。这是我们把获客重心放在合作社与农服公司的原因。</w:t>
      </w:r>
    </w:p>
    <w:p>
      <w:pPr>
        <w:keepNext/>
        <w:keepLines/>
        <w:spacing w:before="200" w:after="100" w:line="360" w:lineRule="auto"/>
        <w:outlineLvl w:val="1"/>
      </w:pPr>
      <w:r>
        <w:rPr>
          <w:rFonts w:ascii="黑体" w:hAnsi="黑体" w:eastAsia="黑体"/>
          <w:b/>
          <w:color w:val="111827"/>
          <w:sz w:val="25"/>
        </w:rPr>
        <w:t>2.3 市场规模测算的假设与敏感性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576 亿元的 TAM 建立在三个假设上：全国耕地 18 亿亩、年巡田 4 次、单价 8 元/亩。这三个数字都可能偏离。耕地面积是公开数据，偏差小；巡田频次取决于作物与经济性，若农户只愿意巡 2 次，市场直接腰斩；单价则会随竞争下降（见表 2）。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2　关键假设在基准与悲观情景下对 TAM 的影响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64"/>
        <w:gridCol w:w="1746"/>
        <w:gridCol w:w="1746"/>
        <w:gridCol w:w="3274"/>
      </w:tblGrid>
      <w:tr>
        <w:trPr>
          <w:tblHeader/>
          <w:cantSplit/>
        </w:trPr>
        <w:tc>
          <w:tcPr>
            <w:tcW w:type="dxa" w:w="1964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假设变量</w:t>
            </w:r>
          </w:p>
        </w:tc>
        <w:tc>
          <w:tcPr>
            <w:tcW w:type="dxa" w:w="1746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基准</w:t>
            </w:r>
          </w:p>
        </w:tc>
        <w:tc>
          <w:tcPr>
            <w:tcW w:type="dxa" w:w="1746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悲观</w:t>
            </w:r>
          </w:p>
        </w:tc>
        <w:tc>
          <w:tcPr>
            <w:tcW w:type="dxa" w:w="3274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对 TAM 的影响</w:t>
            </w:r>
          </w:p>
        </w:tc>
      </w:tr>
      <w:tr>
        <w:trPr>
          <w:cantSplit/>
        </w:trPr>
        <w:tc>
          <w:tcPr>
            <w:tcW w:type="dxa" w:w="1964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年巡田频次</w:t>
            </w:r>
          </w:p>
        </w:tc>
        <w:tc>
          <w:tcPr>
            <w:tcW w:type="dxa" w:w="1746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4 次</w:t>
            </w:r>
          </w:p>
        </w:tc>
        <w:tc>
          <w:tcPr>
            <w:tcW w:type="dxa" w:w="1746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 次</w:t>
            </w:r>
          </w:p>
        </w:tc>
        <w:tc>
          <w:tcPr>
            <w:tcW w:type="dxa" w:w="327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576 亿 → 288 亿</w:t>
            </w:r>
          </w:p>
        </w:tc>
      </w:tr>
      <w:tr>
        <w:trPr>
          <w:cantSplit/>
        </w:trPr>
        <w:tc>
          <w:tcPr>
            <w:tcW w:type="dxa" w:w="1964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单价</w:t>
            </w:r>
          </w:p>
        </w:tc>
        <w:tc>
          <w:tcPr>
            <w:tcW w:type="dxa" w:w="1746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8 元/亩</w:t>
            </w:r>
          </w:p>
        </w:tc>
        <w:tc>
          <w:tcPr>
            <w:tcW w:type="dxa" w:w="1746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5 元/亩</w:t>
            </w:r>
          </w:p>
        </w:tc>
        <w:tc>
          <w:tcPr>
            <w:tcW w:type="dxa" w:w="327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576 亿 → 360 亿</w:t>
            </w:r>
          </w:p>
        </w:tc>
      </w:tr>
      <w:tr>
        <w:trPr>
          <w:cantSplit/>
        </w:trPr>
        <w:tc>
          <w:tcPr>
            <w:tcW w:type="dxa" w:w="1964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服务渗透率</w:t>
            </w:r>
          </w:p>
        </w:tc>
        <w:tc>
          <w:tcPr>
            <w:tcW w:type="dxa" w:w="1746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100%</w:t>
            </w:r>
          </w:p>
        </w:tc>
        <w:tc>
          <w:tcPr>
            <w:tcW w:type="dxa" w:w="1746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40%</w:t>
            </w:r>
          </w:p>
        </w:tc>
        <w:tc>
          <w:tcPr>
            <w:tcW w:type="dxa" w:w="327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576 亿 → 230 亿</w:t>
            </w:r>
          </w:p>
        </w:tc>
      </w:tr>
      <w:tr>
        <w:trPr>
          <w:cantSplit/>
        </w:trPr>
        <w:tc>
          <w:tcPr>
            <w:tcW w:type="dxa" w:w="1964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三项同时悲观</w:t>
            </w:r>
          </w:p>
        </w:tc>
        <w:tc>
          <w:tcPr>
            <w:tcW w:type="dxa" w:w="1746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—</w:t>
            </w:r>
          </w:p>
        </w:tc>
        <w:tc>
          <w:tcPr>
            <w:tcW w:type="dxa" w:w="1746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—</w:t>
            </w:r>
          </w:p>
        </w:tc>
        <w:tc>
          <w:tcPr>
            <w:tcW w:type="dxa" w:w="327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576 亿 → 58 亿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最悲观情景下市场仍有 58 亿元，足以支撑一家区域性服务商。这个测算的意义不是证明市场大，而是说明「即使判断错了，生意还成立」——这是我们在写商业计划书时坚持的底线思维。</w:t>
      </w:r>
    </w:p>
    <w:p>
      <w:pPr>
        <w:keepNext/>
        <w:keepLines/>
        <w:spacing w:before="200" w:after="100" w:line="360" w:lineRule="auto"/>
        <w:outlineLvl w:val="1"/>
      </w:pPr>
      <w:r>
        <w:rPr>
          <w:rFonts w:ascii="黑体" w:hAnsi="黑体" w:eastAsia="黑体"/>
          <w:b/>
          <w:color w:val="111827"/>
          <w:sz w:val="25"/>
        </w:rPr>
        <w:t>2.4 目标市场的进入顺序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我们不打全国市场，按「一个县跑通、三个县复制、一个市覆盖」的节奏推进。首县选在稻麦轮作区，理由是双季作物能把作业窗口从 6 个月拉到 9 个月，设备利用率更高；且当地有 3 家运营正常的合作社，是现成的渠道。</w:t>
      </w:r>
    </w:p>
    <w:p>
      <w:pPr>
        <w:keepNext/>
        <w:keepLines/>
        <w:spacing w:before="200" w:after="100" w:line="360" w:lineRule="auto"/>
        <w:outlineLvl w:val="1"/>
      </w:pPr>
      <w:r>
        <w:rPr>
          <w:rFonts w:ascii="黑体" w:hAnsi="黑体" w:eastAsia="黑体"/>
          <w:b/>
          <w:color w:val="111827"/>
          <w:sz w:val="25"/>
        </w:rPr>
        <w:t>2.5 产业链位置与替代方案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农业服务产业链可以粗分为四段：农资供应、田间作业、农情监测、产后流通。我们只做第三段，原因很直接——这一段目前最没有人为它单独付费，但也最靠近决策：谁掌握了「要不要打药、什么时候打」的判断，谁就站在农资销售的入口上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现有的替代方案有三种，各有各的将就。第一种是农技站人工巡查，一个县通常 3—5 名农技员，覆盖十几万亩，一年能到地块 2—3 次，密度远远不够；第二种是农户自己看，靠经验与邻地对照，早期病害基本发现不了；第三种是植保无人机厂商附带的巡查功能，只在打药时顺带飞一次，数据不落地、不成档案。三种方案的共同问题是：没有连续、可回溯的地块级数据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这也决定了我们的产品形态不是「飞一次给个报告」，而是「一个生长季至少四次、同一地块连续可比的档案」。连续性才是壁垒，单次飞行谁都能做。</w:t>
      </w:r>
    </w:p>
    <w:p>
      <w:pPr>
        <w:keepNext/>
        <w:keepLines/>
        <w:spacing w:before="200" w:after="100" w:line="360" w:lineRule="auto"/>
        <w:outlineLvl w:val="1"/>
      </w:pPr>
      <w:r>
        <w:rPr>
          <w:rFonts w:ascii="黑体" w:hAnsi="黑体" w:eastAsia="黑体"/>
          <w:b/>
          <w:color w:val="111827"/>
          <w:sz w:val="25"/>
        </w:rPr>
        <w:t>2.6 种植户分层与付费意愿</w:t>
      </w:r>
    </w:p>
    <w:p>
      <w:pPr>
        <w:keepNext/>
        <w:keepLines/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把 47 份访谈按经营面积分层之后，付费逻辑差异非常明显，不能用一个价位打全场如表 3 所示：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3　四类客户的分层特征、可接受单价与获客方式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39"/>
        <w:gridCol w:w="1343"/>
        <w:gridCol w:w="3070"/>
        <w:gridCol w:w="1247"/>
        <w:gridCol w:w="1631"/>
      </w:tblGrid>
      <w:tr>
        <w:trPr>
          <w:tblHeader/>
          <w:cantSplit/>
        </w:trPr>
        <w:tc>
          <w:tcPr>
            <w:tcW w:type="dxa" w:w="1439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客户分层</w:t>
            </w:r>
          </w:p>
        </w:tc>
        <w:tc>
          <w:tcPr>
            <w:tcW w:type="dxa" w:w="1343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经营面积</w:t>
            </w:r>
          </w:p>
        </w:tc>
        <w:tc>
          <w:tcPr>
            <w:tcW w:type="dxa" w:w="3070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核心痛点</w:t>
            </w:r>
          </w:p>
        </w:tc>
        <w:tc>
          <w:tcPr>
            <w:tcW w:type="dxa" w:w="1247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可接受单价</w:t>
            </w:r>
          </w:p>
        </w:tc>
        <w:tc>
          <w:tcPr>
            <w:tcW w:type="dxa" w:w="1631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获客方式</w:t>
            </w:r>
          </w:p>
        </w:tc>
      </w:tr>
      <w:tr>
        <w:trPr>
          <w:cantSplit/>
        </w:trPr>
        <w:tc>
          <w:tcPr>
            <w:tcW w:type="dxa" w:w="1439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小散户</w:t>
            </w:r>
          </w:p>
        </w:tc>
        <w:tc>
          <w:tcPr>
            <w:tcW w:type="dxa" w:w="134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50 亩以下</w:t>
            </w:r>
          </w:p>
        </w:tc>
        <w:tc>
          <w:tcPr>
            <w:tcW w:type="dxa" w:w="307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自己看得过来，觉得没必要花钱</w:t>
            </w:r>
          </w:p>
        </w:tc>
        <w:tc>
          <w:tcPr>
            <w:tcW w:type="dxa" w:w="124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 元以内</w:t>
            </w:r>
          </w:p>
        </w:tc>
        <w:tc>
          <w:tcPr>
            <w:tcW w:type="dxa" w:w="163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不主动触达</w:t>
            </w:r>
          </w:p>
        </w:tc>
      </w:tr>
      <w:tr>
        <w:trPr>
          <w:cantSplit/>
        </w:trPr>
        <w:tc>
          <w:tcPr>
            <w:tcW w:type="dxa" w:w="1439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规模户</w:t>
            </w:r>
          </w:p>
        </w:tc>
        <w:tc>
          <w:tcPr>
            <w:tcW w:type="dxa" w:w="134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50—100 亩</w:t>
            </w:r>
          </w:p>
        </w:tc>
        <w:tc>
          <w:tcPr>
            <w:tcW w:type="dxa" w:w="307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忙不过来，怕错过用药窗口</w:t>
            </w:r>
          </w:p>
        </w:tc>
        <w:tc>
          <w:tcPr>
            <w:tcW w:type="dxa" w:w="124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8—12 元</w:t>
            </w:r>
          </w:p>
        </w:tc>
        <w:tc>
          <w:tcPr>
            <w:tcW w:type="dxa" w:w="163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合作社介绍</w:t>
            </w:r>
          </w:p>
        </w:tc>
      </w:tr>
      <w:tr>
        <w:trPr>
          <w:cantSplit/>
        </w:trPr>
        <w:tc>
          <w:tcPr>
            <w:tcW w:type="dxa" w:w="1439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家庭农场</w:t>
            </w:r>
          </w:p>
        </w:tc>
        <w:tc>
          <w:tcPr>
            <w:tcW w:type="dxa" w:w="134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100—300 亩</w:t>
            </w:r>
          </w:p>
        </w:tc>
        <w:tc>
          <w:tcPr>
            <w:tcW w:type="dxa" w:w="307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要算投入产出，需要数据和台账</w:t>
            </w:r>
          </w:p>
        </w:tc>
        <w:tc>
          <w:tcPr>
            <w:tcW w:type="dxa" w:w="124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12—15 元</w:t>
            </w:r>
          </w:p>
        </w:tc>
        <w:tc>
          <w:tcPr>
            <w:tcW w:type="dxa" w:w="163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乡镇农技站推荐</w:t>
            </w:r>
          </w:p>
        </w:tc>
      </w:tr>
      <w:tr>
        <w:trPr>
          <w:cantSplit/>
        </w:trPr>
        <w:tc>
          <w:tcPr>
            <w:tcW w:type="dxa" w:w="1439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合作社 / 农服公司</w:t>
            </w:r>
          </w:p>
        </w:tc>
        <w:tc>
          <w:tcPr>
            <w:tcW w:type="dxa" w:w="134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3000 亩以上</w:t>
            </w:r>
          </w:p>
        </w:tc>
        <w:tc>
          <w:tcPr>
            <w:tcW w:type="dxa" w:w="307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要向上游要服务、向农户交代效果</w:t>
            </w:r>
          </w:p>
        </w:tc>
        <w:tc>
          <w:tcPr>
            <w:tcW w:type="dxa" w:w="124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按包年议价</w:t>
            </w:r>
          </w:p>
        </w:tc>
        <w:tc>
          <w:tcPr>
            <w:tcW w:type="dxa" w:w="163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直接拜访 + 试点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这张表解释了我们为什么把 50 亩作为起点：50 亩以下的服务成本与 50 亩以上几乎一样（转场与起降占大头），但付费意愿差三倍，做小散户在经济上不成立。而 300 亩以上的家庭农场是理想客户——他们已经在用 Excel 记农事，缺的只是有人替他们把这个表填满。</w:t>
      </w:r>
    </w:p>
    <w:p>
      <w:pPr>
        <w:keepNext/>
        <w:keepLines/>
        <w:spacing w:before="200" w:after="100" w:line="360" w:lineRule="auto"/>
        <w:outlineLvl w:val="1"/>
      </w:pPr>
      <w:r>
        <w:rPr>
          <w:rFonts w:ascii="黑体" w:hAnsi="黑体" w:eastAsia="黑体"/>
          <w:b/>
          <w:color w:val="111827"/>
          <w:sz w:val="25"/>
        </w:rPr>
        <w:t>2.7 政策口径与补贴衔接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农业社会化服务有明确的服务补贴通道，多数省份对统防统治、代耕代种按亩给予 10—20 元补贴，补贴对象是服务组织而非农户。这意味着两件事：一是我们可以作为服务组织申报，补贴可直接改善单位经济；二是合作社比我们更会申报——这也是我们选择「县域合伙」而非直营的原因之一。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但补贴不能算进商业模型。我们做财务预测时把补贴全部视为零，理由是补贴名单每年调整、到账有滞后、且与企业规模挂钩。如果补贴到账，是额外安全垫；如果不到，模型依然成立。这一条我们在路演里会主动讲，因为把所有希望押在政策上的项目，评审见得太多（见图 1）。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72000" cy="23822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_market_funne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3822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1　市场空间的三层收敛：从 576 亿元的理论空间到首期 0.96 亿元的可获取空间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需要说明这个漏斗的收敛逻辑：TAM 到 SAM 砍掉的是「50 亩以下」的碎片化耕地，SAM 到 SOM 砍掉的是「首期三个县之外」的地理范围。两级收敛之后只剩 0.96 亿元，看起来很小，但对一个 5 人团队、300 万元融资的早期项目，这个盘子足够跑三年——把 SOM 说成几十亿的项目，通常是在拿 TAM 冒充自己的市场。</w:t>
      </w:r>
    </w:p>
    <w:p>
      <w:pPr>
        <w:keepNext/>
        <w:keepLines/>
        <w:spacing w:before="280" w:after="140" w:line="360" w:lineRule="auto"/>
        <w:outlineLvl w:val="0"/>
      </w:pPr>
      <w:r>
        <w:rPr>
          <w:rFonts w:ascii="黑体" w:hAnsi="黑体" w:eastAsia="黑体"/>
          <w:b/>
          <w:color w:val="111827"/>
          <w:sz w:val="30"/>
        </w:rPr>
        <w:t>三、商业模式</w:t>
      </w:r>
    </w:p>
    <w:p>
      <w:pPr>
        <w:keepNext/>
        <w:keepLines/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以「服务订阅为现金牛、数据驱动的农资集采为第二曲线」构建商业闭环。九宫格画布如图 2 所示：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72000" cy="224971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canva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249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2　商业模式画布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画布中的九宫格不是套模板填的，每一格都对应一个已经验证过的动作。比如「客户关系」这一格写的是「合作社驻点服务」——我们试过纯线上获客，转化率不到 2%；改由合作社理事长带着我们进村，转化率提到 31%。农业生意的信任链条必须落在地面上。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「收入来源」这一格也经历过调整。最初只做服务费，单亩毛利 2.3 元，扣除飞手成本后几乎不赚钱。加入农资集采佣金后，单亩综合毛利提升到 5.8 元，这才让模型跑得通。</w:t>
      </w:r>
    </w:p>
    <w:p>
      <w:pPr>
        <w:keepNext/>
        <w:keepLines/>
        <w:spacing w:before="200" w:after="100" w:line="360" w:lineRule="auto"/>
        <w:outlineLvl w:val="1"/>
      </w:pPr>
      <w:r>
        <w:rPr>
          <w:rFonts w:ascii="黑体" w:hAnsi="黑体" w:eastAsia="黑体"/>
          <w:b/>
          <w:color w:val="111827"/>
          <w:sz w:val="25"/>
        </w:rPr>
        <w:t>3.1 单位经济与规模化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单亩毛利 3.6 元，看起来薄，但农业服务的规模效应很强。关键在于飞手人效：一名飞手日作业 400 亩，扣除转场与电池更换，实际有效作业约 320 亩。若把排班从「按村分片」改为「按航线聚类」，转场时间可压缩 35%，人效提升到 430 亩。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设备利用率是另一个杠杆。无人机作业有强季节性，单一作物区一年只有 6—8 个工作窗口，设备闲置率高达 65%。跨作物轮作区可把窗口拉长到 10—12 个，淡季再承接林业与水利巡检，年利用率可从 35% 提升到 58%，折旧成本随之摊薄。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收入来自订阅而非单次作业，这一点在交付流程上体现得很直接：客户按生长季订 4 次以上，我们就能把航线与地块档案复用，第二季度的边际成本显著低于第一季（见图 3）。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72000" cy="1824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_service_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8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3　服务交付六步链路与单环节耗时</w:t>
      </w:r>
    </w:p>
    <w:p>
      <w:pPr>
        <w:keepNext/>
        <w:keepLines/>
        <w:spacing w:before="200" w:after="100" w:line="360" w:lineRule="auto"/>
        <w:outlineLvl w:val="1"/>
      </w:pPr>
      <w:r>
        <w:rPr>
          <w:rFonts w:ascii="黑体" w:hAnsi="黑体" w:eastAsia="黑体"/>
          <w:b/>
          <w:color w:val="111827"/>
          <w:sz w:val="25"/>
        </w:rPr>
        <w:t>3.2 收入结构与定价阶梯</w:t>
      </w:r>
    </w:p>
    <w:p>
      <w:pPr>
        <w:keepNext/>
        <w:keepLines/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同样是「按亩收费」，我们做了三档，用来区分只买报告、买判断、和买台账的三类需求如表 4 所示：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4　三档服务的定价、交付内容与适用客户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343"/>
        <w:gridCol w:w="1439"/>
        <w:gridCol w:w="3934"/>
        <w:gridCol w:w="2015"/>
      </w:tblGrid>
      <w:tr>
        <w:trPr>
          <w:tblHeader/>
          <w:cantSplit/>
        </w:trPr>
        <w:tc>
          <w:tcPr>
            <w:tcW w:type="dxa" w:w="1343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档位</w:t>
            </w:r>
          </w:p>
        </w:tc>
        <w:tc>
          <w:tcPr>
            <w:tcW w:type="dxa" w:w="1439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单价</w:t>
            </w:r>
          </w:p>
        </w:tc>
        <w:tc>
          <w:tcPr>
            <w:tcW w:type="dxa" w:w="3934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交付内容</w:t>
            </w:r>
          </w:p>
        </w:tc>
        <w:tc>
          <w:tcPr>
            <w:tcW w:type="dxa" w:w="2015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适用客户</w:t>
            </w:r>
          </w:p>
        </w:tc>
      </w:tr>
      <w:tr>
        <w:trPr>
          <w:cantSplit/>
        </w:trPr>
        <w:tc>
          <w:tcPr>
            <w:tcW w:type="dxa" w:w="1343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基础巡田</w:t>
            </w:r>
          </w:p>
        </w:tc>
        <w:tc>
          <w:tcPr>
            <w:tcW w:type="dxa" w:w="143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6 元/亩·次</w:t>
            </w:r>
          </w:p>
        </w:tc>
        <w:tc>
          <w:tcPr>
            <w:tcW w:type="dxa" w:w="393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长势分级图与异常地块标注，不含用药建议</w:t>
            </w:r>
          </w:p>
        </w:tc>
        <w:tc>
          <w:tcPr>
            <w:tcW w:type="dxa" w:w="201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首次试用、价格敏感户</w:t>
            </w:r>
          </w:p>
        </w:tc>
      </w:tr>
      <w:tr>
        <w:trPr>
          <w:cantSplit/>
        </w:trPr>
        <w:tc>
          <w:tcPr>
            <w:tcW w:type="dxa" w:w="1343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标准监测</w:t>
            </w:r>
          </w:p>
        </w:tc>
        <w:tc>
          <w:tcPr>
            <w:tcW w:type="dxa" w:w="143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8 元/亩·次</w:t>
            </w:r>
          </w:p>
        </w:tc>
        <w:tc>
          <w:tcPr>
            <w:tcW w:type="dxa" w:w="393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长势 + 病虫害风险等级 + 用药窗口建议（主力档）</w:t>
            </w:r>
          </w:p>
        </w:tc>
        <w:tc>
          <w:tcPr>
            <w:tcW w:type="dxa" w:w="201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50—300 亩规模户</w:t>
            </w:r>
          </w:p>
        </w:tc>
      </w:tr>
      <w:tr>
        <w:trPr>
          <w:cantSplit/>
        </w:trPr>
        <w:tc>
          <w:tcPr>
            <w:tcW w:type="dxa" w:w="1343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地块档案</w:t>
            </w:r>
          </w:p>
        </w:tc>
        <w:tc>
          <w:tcPr>
            <w:tcW w:type="dxa" w:w="143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12 元/亩·次</w:t>
            </w:r>
          </w:p>
        </w:tc>
        <w:tc>
          <w:tcPr>
            <w:tcW w:type="dxa" w:w="393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含历史档案、补贴申报与保险理赔所需的过程材料</w:t>
            </w:r>
          </w:p>
        </w:tc>
        <w:tc>
          <w:tcPr>
            <w:tcW w:type="dxa" w:w="201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家庭农场、合作社</w:t>
            </w:r>
          </w:p>
        </w:tc>
      </w:tr>
      <w:tr>
        <w:trPr>
          <w:cantSplit/>
        </w:trPr>
        <w:tc>
          <w:tcPr>
            <w:tcW w:type="dxa" w:w="1343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合作社包年</w:t>
            </w:r>
          </w:p>
        </w:tc>
        <w:tc>
          <w:tcPr>
            <w:tcW w:type="dxa" w:w="143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按面积议价</w:t>
            </w:r>
          </w:p>
        </w:tc>
        <w:tc>
          <w:tcPr>
            <w:tcW w:type="dxa" w:w="393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全季不限次，含培训与台账输出</w:t>
            </w:r>
          </w:p>
        </w:tc>
        <w:tc>
          <w:tcPr>
            <w:tcW w:type="dxa" w:w="201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3000 亩以上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主力档定在 8 元，是访谈倒推出来的结果：47 人中有 31 人表示「20 元以内都能接受」，但他们的心理锚点是「比打一次药便宜」。一亩地一次打药的人工加药费约 25—35 元，监测费必须显著低于这个数才会被当作常规支出，而不是「项目开销」。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三档之间的差价不是随意拉的，而是对应交付成本：基础档只做图像处理，边际成本几乎为零；标准档需要人工复核异常地块，每亩增加约 0.5 元；档案档要整理全年材料，每亩增加约 1.2 元。我们不打算用低价档冲量——低价拉来的客户，第二年一定流失。</w:t>
      </w:r>
    </w:p>
    <w:p>
      <w:pPr>
        <w:keepNext/>
        <w:keepLines/>
        <w:spacing w:before="200" w:after="100" w:line="360" w:lineRule="auto"/>
        <w:outlineLvl w:val="1"/>
      </w:pPr>
      <w:r>
        <w:rPr>
          <w:rFonts w:ascii="黑体" w:hAnsi="黑体" w:eastAsia="黑体"/>
          <w:b/>
          <w:color w:val="111827"/>
          <w:sz w:val="25"/>
        </w:rPr>
        <w:t>3.3 渠道组合与获客成本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获客不靠投放，靠三条腿：合作社分销、农技站背书、老客户转介绍。试点期 3 家合作社带来 4,200 亩次，单个客户获取成本约 900 元；同期在本地做过一次朋友圈投放测试，单个有效线索成本 260 元，但转化率只有 4%，折算下来获客成本超过 6,000 元，所以我们放弃了线上投放这条路。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渠道分成上，合作社介绍客户按服务费 10% 返点，这个比例高于行业常见的 5%，原因是我们需要合作社承担「带路、协调地块、催收账款」三件事，这些活我们干不了。返点看似让利，实际省下的是地推人力与账期风险。</w:t>
      </w:r>
    </w:p>
    <w:p>
      <w:pPr>
        <w:keepNext/>
        <w:keepLines/>
        <w:spacing w:before="200" w:after="100" w:line="360" w:lineRule="auto"/>
        <w:outlineLvl w:val="1"/>
      </w:pPr>
      <w:r>
        <w:rPr>
          <w:rFonts w:ascii="黑体" w:hAnsi="黑体" w:eastAsia="黑体"/>
          <w:b/>
          <w:color w:val="111827"/>
          <w:sz w:val="25"/>
        </w:rPr>
        <w:t>3.4 单位经济的敏感性与生命周期价值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上一节把 8 元拆成了 4.4 元变动成本与 3.6 元毛利，但没有回答一个更要紧的问题：这 3.6 元经不经得起波动。回答方式是做单变量敏感性——每次只动一个参数，看毛利被削掉多少。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最敏感的是单价。单价从 8 元降到 6 元，毛利从 3.6 元掉到 1.6 元，直接腰斩还要多，盈亏平衡作业量从 13.6 万亩次抬到 30.6 万亩次——这个量级意味着必须做到 5 个县，而 5 个县的管理跨度是我们目前管不了的。这就是为什么我们宁可在价格上不让步，也要在服务次数上做加法：降价是单向的，加服务是可逆的。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第二敏感的是飞行作业成本。它主要由电池折旧、转场油耗和飞手工时构成，其中飞手工时占一半以上。单块连片面积从 80 亩提到 200 亩，转场次数减少，作业成本能压到 2.1 元，毛利回升到 4.1 元。这条规律决定了我们的销售动作：优先签整村、整社，不接零散小单（见图 4）。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72000" cy="287818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1_unit_walk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8781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4　每亩次收入在各项成本之间的分配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把单亩毛利放到客户生命周期里看，账会更清楚。一个规模户一旦接入，平均留存 3.2 个生长季（按 47 份访谈里已终止合作的 9 户倒推），每年服务 2.6 次，年毛利 3.6 × 2.6 ≈ 9.4 元/亩。按平均 85 亩计算，单个客户的三年毛利约 2,400 元。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对应的获客成本是 900 元（合作社介绍）到 6,000 元（自建地推）。前者回本期约 1 个生长季，后者要 2.5 个生长季——已经接近客户平均留存的极限。这组数字比任何战略表述都更能说明问题：我们负担不起自建地推，渠道必须挂在合作社身上，哪怕为此付出 10% 的返点。</w:t>
      </w:r>
    </w:p>
    <w:p>
      <w:pPr>
        <w:keepNext/>
        <w:keepLines/>
        <w:spacing w:before="280" w:after="140" w:line="360" w:lineRule="auto"/>
        <w:outlineLvl w:val="0"/>
      </w:pPr>
      <w:r>
        <w:rPr>
          <w:rFonts w:ascii="黑体" w:hAnsi="黑体" w:eastAsia="黑体"/>
          <w:b/>
          <w:color w:val="111827"/>
          <w:sz w:val="30"/>
        </w:rPr>
        <w:t>四、竞争分析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主要竞争者分为植保无人机厂商与农服平台两类。前者优势在硬件与渠道，但业务重心在喷洒作业，监测只是附带；后者掌握流量但缺乏自主采集能力。本项目的差异化在于专注监测这一环，且掌握自有数据与模型（见图 5）。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3731785" cy="252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swo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31785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5　SWOT 分析矩阵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SWOT 里最需要正视的是 W（劣势）中的第一条：实机测试场地受限。这直接限制了我们在多种作物、多种地形上的数据积累速度，而数据量是预警准确率的基础。短期对策是与 3 家合作社签订数据共享协议，用他们的地块做测试，换取免费服务；长期对策是在第 2 年自建 2 个示范田。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T（威胁）中最现实的是元器件供货周期。多光谱相机的核心传感器依赖进口，交期波动可达 3 个月。我们的对策是提前备货 8 套，并同步测试国产替代方案，在精度损失可接受的范围内做双供应商。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把三类竞争者逐项对比后，可以看到一个空位：没有人把「监测」当作独立产品来做。植保厂商把它当硬件的附属功能，农服平台把它当引流工具，飞防队根本不提供。这个空位不是因为他们想不到，而是因为监测客单价低、交付重、不赚钱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我们的判断是：监测本身可以不赚钱，但它掌握两样别人没有的东西——作物生长数据与农户决策入口。前者是模型迭代的燃料，后者是农资销售的渠道。靠监测建立关系，靠农资集采赚钱，这是模型的真正结构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这个结构的风险也很清楚：一旦植保厂商把监测做到「够用」，我们的入口优势就会被削弱。因此团队把数据积累速度作为核心指标——在对手补齐之前，先积累 3 个完整生长季的历史数据，形成「可纵向对比」的壁垒。这也是我们认为最难被复制的地方：数据要靠时间堆，钱买不到。</w:t>
      </w:r>
    </w:p>
    <w:p>
      <w:pPr>
        <w:keepNext/>
        <w:keepLines/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把四类玩家放在同一张图上看，差距不在技术，而在「站的位置」如图 6 所示（见表 5）：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72000" cy="27497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_competitive_ma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749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6　四类玩家的能力定位与本项目所处位置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5　四类玩家在五个维度上的逐项对比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535"/>
        <w:gridCol w:w="1919"/>
        <w:gridCol w:w="1535"/>
        <w:gridCol w:w="1535"/>
        <w:gridCol w:w="2207"/>
      </w:tblGrid>
      <w:tr>
        <w:trPr>
          <w:tblHeader/>
          <w:cantSplit/>
        </w:trPr>
        <w:tc>
          <w:tcPr>
            <w:tcW w:type="dxa" w:w="1535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对比维度</w:t>
            </w:r>
          </w:p>
        </w:tc>
        <w:tc>
          <w:tcPr>
            <w:tcW w:type="dxa" w:w="1919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植保无人机厂商</w:t>
            </w:r>
          </w:p>
        </w:tc>
        <w:tc>
          <w:tcPr>
            <w:tcW w:type="dxa" w:w="1535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农服平台</w:t>
            </w:r>
          </w:p>
        </w:tc>
        <w:tc>
          <w:tcPr>
            <w:tcW w:type="dxa" w:w="1535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县域飞防队</w:t>
            </w:r>
          </w:p>
        </w:tc>
        <w:tc>
          <w:tcPr>
            <w:tcW w:type="dxa" w:w="2207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本项目</w:t>
            </w:r>
          </w:p>
        </w:tc>
      </w:tr>
      <w:tr>
        <w:trPr>
          <w:cantSplit/>
        </w:trPr>
        <w:tc>
          <w:tcPr>
            <w:tcW w:type="dxa" w:w="1535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核心业务</w:t>
            </w:r>
          </w:p>
        </w:tc>
        <w:tc>
          <w:tcPr>
            <w:tcW w:type="dxa" w:w="191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卖设备、卖飞防</w:t>
            </w:r>
          </w:p>
        </w:tc>
        <w:tc>
          <w:tcPr>
            <w:tcW w:type="dxa" w:w="153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撮合订单</w:t>
            </w:r>
          </w:p>
        </w:tc>
        <w:tc>
          <w:tcPr>
            <w:tcW w:type="dxa" w:w="153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打药作业</w:t>
            </w:r>
          </w:p>
        </w:tc>
        <w:tc>
          <w:tcPr>
            <w:tcW w:type="dxa" w:w="220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监测与判断</w:t>
            </w:r>
          </w:p>
        </w:tc>
      </w:tr>
      <w:tr>
        <w:trPr>
          <w:cantSplit/>
        </w:trPr>
        <w:tc>
          <w:tcPr>
            <w:tcW w:type="dxa" w:w="1535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数据归属</w:t>
            </w:r>
          </w:p>
        </w:tc>
        <w:tc>
          <w:tcPr>
            <w:tcW w:type="dxa" w:w="191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厂商后台</w:t>
            </w:r>
          </w:p>
        </w:tc>
        <w:tc>
          <w:tcPr>
            <w:tcW w:type="dxa" w:w="153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平台</w:t>
            </w:r>
          </w:p>
        </w:tc>
        <w:tc>
          <w:tcPr>
            <w:tcW w:type="dxa" w:w="153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无</w:t>
            </w:r>
          </w:p>
        </w:tc>
        <w:tc>
          <w:tcPr>
            <w:tcW w:type="dxa" w:w="220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自有，可回溯</w:t>
            </w:r>
          </w:p>
        </w:tc>
      </w:tr>
      <w:tr>
        <w:trPr>
          <w:cantSplit/>
        </w:trPr>
        <w:tc>
          <w:tcPr>
            <w:tcW w:type="dxa" w:w="1535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地块级连续性</w:t>
            </w:r>
          </w:p>
        </w:tc>
        <w:tc>
          <w:tcPr>
            <w:tcW w:type="dxa" w:w="191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弱，随打药次数</w:t>
            </w:r>
          </w:p>
        </w:tc>
        <w:tc>
          <w:tcPr>
            <w:tcW w:type="dxa" w:w="153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弱</w:t>
            </w:r>
          </w:p>
        </w:tc>
        <w:tc>
          <w:tcPr>
            <w:tcW w:type="dxa" w:w="153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无</w:t>
            </w:r>
          </w:p>
        </w:tc>
        <w:tc>
          <w:tcPr>
            <w:tcW w:type="dxa" w:w="220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强，按生长季建档</w:t>
            </w:r>
          </w:p>
        </w:tc>
      </w:tr>
      <w:tr>
        <w:trPr>
          <w:cantSplit/>
        </w:trPr>
        <w:tc>
          <w:tcPr>
            <w:tcW w:type="dxa" w:w="1535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能否给用药建议</w:t>
            </w:r>
          </w:p>
        </w:tc>
        <w:tc>
          <w:tcPr>
            <w:tcW w:type="dxa" w:w="191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不建议（利益冲突）</w:t>
            </w:r>
          </w:p>
        </w:tc>
        <w:tc>
          <w:tcPr>
            <w:tcW w:type="dxa" w:w="153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不涉及</w:t>
            </w:r>
          </w:p>
        </w:tc>
        <w:tc>
          <w:tcPr>
            <w:tcW w:type="dxa" w:w="153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凭经验</w:t>
            </w:r>
          </w:p>
        </w:tc>
        <w:tc>
          <w:tcPr>
            <w:tcW w:type="dxa" w:w="220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可以，且与药商无绑定</w:t>
            </w:r>
          </w:p>
        </w:tc>
      </w:tr>
      <w:tr>
        <w:trPr>
          <w:cantSplit/>
        </w:trPr>
        <w:tc>
          <w:tcPr>
            <w:tcW w:type="dxa" w:w="1535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服务半径</w:t>
            </w:r>
          </w:p>
        </w:tc>
        <w:tc>
          <w:tcPr>
            <w:tcW w:type="dxa" w:w="191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全国</w:t>
            </w:r>
          </w:p>
        </w:tc>
        <w:tc>
          <w:tcPr>
            <w:tcW w:type="dxa" w:w="153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全国</w:t>
            </w:r>
          </w:p>
        </w:tc>
        <w:tc>
          <w:tcPr>
            <w:tcW w:type="dxa" w:w="153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单县</w:t>
            </w:r>
          </w:p>
        </w:tc>
        <w:tc>
          <w:tcPr>
            <w:tcW w:type="dxa" w:w="220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逐县复制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这张表里最值得说的是「利益冲突」这一行。植保厂商卖药，它给出的用药建议必然偏多，农户心里清楚，所以只把它当工具不当顾问。我们不卖药，这是一个结构性的信任优势——但它只在「我们真的不卖药」时成立，一旦开始做农资集采，这个优势就会被削弱。这是我们内部争论最久的问题，目前的结论是：集采只做「代采不代理」，不加价、不返点、不推荐品牌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壁垒可以拆成四层，从薄到厚：一是航线与作业规范，两三个月就能被模仿；二是地块档案的连续性，需要至少两年积累；三是作物模型，需要标注数据与农艺专家，一年半起步；四是合作社关系网络，最难复制，也最容易流失。我们真正的护城河是第二层和第四层的组合——数据留在我们这里，关系落在本地合伙人身上，两边都拿不走。</w:t>
      </w:r>
    </w:p>
    <w:p>
      <w:pPr>
        <w:keepNext/>
        <w:keepLines/>
        <w:spacing w:before="280" w:after="140" w:line="360" w:lineRule="auto"/>
        <w:outlineLvl w:val="0"/>
      </w:pPr>
      <w:r>
        <w:rPr>
          <w:rFonts w:ascii="黑体" w:hAnsi="黑体" w:eastAsia="黑体"/>
          <w:b/>
          <w:color w:val="111827"/>
          <w:sz w:val="30"/>
        </w:rPr>
        <w:t>五、财务规划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五年预测：营业收入由 48 万元增长至 720 万元，复合增长率 97%；第 3 年实现盈亏平衡，第 5 年净利润 282 万元，净利率 39.2%（见图 7）（见表 6）。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4630402" cy="252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forecas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30402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7　五年财务预测（单位：万元）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6　五年财务指标预测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419"/>
        <w:gridCol w:w="1578"/>
        <w:gridCol w:w="1578"/>
        <w:gridCol w:w="1578"/>
        <w:gridCol w:w="1578"/>
      </w:tblGrid>
      <w:tr>
        <w:trPr>
          <w:tblHeader/>
          <w:cantSplit/>
        </w:trPr>
        <w:tc>
          <w:tcPr>
            <w:tcW w:type="dxa" w:w="2419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财务指标</w:t>
            </w:r>
          </w:p>
        </w:tc>
        <w:tc>
          <w:tcPr>
            <w:tcW w:type="dxa" w:w="1578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第 1 年</w:t>
            </w:r>
          </w:p>
        </w:tc>
        <w:tc>
          <w:tcPr>
            <w:tcW w:type="dxa" w:w="1578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第 2 年</w:t>
            </w:r>
          </w:p>
        </w:tc>
        <w:tc>
          <w:tcPr>
            <w:tcW w:type="dxa" w:w="1578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第 3 年</w:t>
            </w:r>
          </w:p>
        </w:tc>
        <w:tc>
          <w:tcPr>
            <w:tcW w:type="dxa" w:w="1578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第 5 年</w:t>
            </w:r>
          </w:p>
        </w:tc>
      </w:tr>
      <w:tr>
        <w:trPr>
          <w:cantSplit/>
        </w:trPr>
        <w:tc>
          <w:tcPr>
            <w:tcW w:type="dxa" w:w="2419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营业收入（万元）</w:t>
            </w:r>
          </w:p>
        </w:tc>
        <w:tc>
          <w:tcPr>
            <w:tcW w:type="dxa" w:w="157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48</w:t>
            </w:r>
          </w:p>
        </w:tc>
        <w:tc>
          <w:tcPr>
            <w:tcW w:type="dxa" w:w="157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132</w:t>
            </w:r>
          </w:p>
        </w:tc>
        <w:tc>
          <w:tcPr>
            <w:tcW w:type="dxa" w:w="157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268</w:t>
            </w:r>
          </w:p>
        </w:tc>
        <w:tc>
          <w:tcPr>
            <w:tcW w:type="dxa" w:w="157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720</w:t>
            </w:r>
          </w:p>
        </w:tc>
      </w:tr>
      <w:tr>
        <w:trPr>
          <w:cantSplit/>
        </w:trPr>
        <w:tc>
          <w:tcPr>
            <w:tcW w:type="dxa" w:w="2419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净利润（万元）</w:t>
            </w:r>
          </w:p>
        </w:tc>
        <w:tc>
          <w:tcPr>
            <w:tcW w:type="dxa" w:w="157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-14</w:t>
            </w:r>
          </w:p>
        </w:tc>
        <w:tc>
          <w:tcPr>
            <w:tcW w:type="dxa" w:w="157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-6</w:t>
            </w:r>
          </w:p>
        </w:tc>
        <w:tc>
          <w:tcPr>
            <w:tcW w:type="dxa" w:w="157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72</w:t>
            </w:r>
          </w:p>
        </w:tc>
        <w:tc>
          <w:tcPr>
            <w:tcW w:type="dxa" w:w="157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282</w:t>
            </w:r>
          </w:p>
        </w:tc>
      </w:tr>
      <w:tr>
        <w:trPr>
          <w:cantSplit/>
        </w:trPr>
        <w:tc>
          <w:tcPr>
            <w:tcW w:type="dxa" w:w="2419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毛利率</w:t>
            </w:r>
          </w:p>
        </w:tc>
        <w:tc>
          <w:tcPr>
            <w:tcW w:type="dxa" w:w="157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—</w:t>
            </w:r>
          </w:p>
        </w:tc>
        <w:tc>
          <w:tcPr>
            <w:tcW w:type="dxa" w:w="157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10.6%</w:t>
            </w:r>
          </w:p>
        </w:tc>
        <w:tc>
          <w:tcPr>
            <w:tcW w:type="dxa" w:w="157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26.9%</w:t>
            </w:r>
          </w:p>
        </w:tc>
        <w:tc>
          <w:tcPr>
            <w:tcW w:type="dxa" w:w="157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39.2%</w:t>
            </w:r>
          </w:p>
        </w:tc>
      </w:tr>
      <w:tr>
        <w:trPr>
          <w:cantSplit/>
        </w:trPr>
        <w:tc>
          <w:tcPr>
            <w:tcW w:type="dxa" w:w="2419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服务面积（万亩次）</w:t>
            </w:r>
          </w:p>
        </w:tc>
        <w:tc>
          <w:tcPr>
            <w:tcW w:type="dxa" w:w="157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6.0</w:t>
            </w:r>
          </w:p>
        </w:tc>
        <w:tc>
          <w:tcPr>
            <w:tcW w:type="dxa" w:w="157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16.5</w:t>
            </w:r>
          </w:p>
        </w:tc>
        <w:tc>
          <w:tcPr>
            <w:tcW w:type="dxa" w:w="157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33.5</w:t>
            </w:r>
          </w:p>
        </w:tc>
        <w:tc>
          <w:tcPr>
            <w:tcW w:type="dxa" w:w="157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90.0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财务模型的关键假设有三个：单亩服务价格年降 5%（规模效应让利）、飞手人效年升 15%（排班优化）、农资集采渗透率从 8% 提升至 25%。敏感性分析显示，即使服务价格降幅扩大到 10%，第 5 年净利仍有 214 万元，模型具备一定安全边际（见表 7）。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7　敏感性分析：关键变量对第 5 年净利的影响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401"/>
        <w:gridCol w:w="1964"/>
        <w:gridCol w:w="1964"/>
        <w:gridCol w:w="2401"/>
      </w:tblGrid>
      <w:tr>
        <w:trPr>
          <w:tblHeader/>
          <w:cantSplit/>
        </w:trPr>
        <w:tc>
          <w:tcPr>
            <w:tcW w:type="dxa" w:w="2401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敏感性变量</w:t>
            </w:r>
          </w:p>
        </w:tc>
        <w:tc>
          <w:tcPr>
            <w:tcW w:type="dxa" w:w="1964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基准情景</w:t>
            </w:r>
          </w:p>
        </w:tc>
        <w:tc>
          <w:tcPr>
            <w:tcW w:type="dxa" w:w="1964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悲观情景</w:t>
            </w:r>
          </w:p>
        </w:tc>
        <w:tc>
          <w:tcPr>
            <w:tcW w:type="dxa" w:w="2401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第 5 年净利（万元）</w:t>
            </w:r>
          </w:p>
        </w:tc>
      </w:tr>
      <w:tr>
        <w:trPr>
          <w:cantSplit/>
        </w:trPr>
        <w:tc>
          <w:tcPr>
            <w:tcW w:type="dxa" w:w="2401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单亩服务价格</w:t>
            </w:r>
          </w:p>
        </w:tc>
        <w:tc>
          <w:tcPr>
            <w:tcW w:type="dxa" w:w="196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年降 5%</w:t>
            </w:r>
          </w:p>
        </w:tc>
        <w:tc>
          <w:tcPr>
            <w:tcW w:type="dxa" w:w="196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年降 10%</w:t>
            </w:r>
          </w:p>
        </w:tc>
        <w:tc>
          <w:tcPr>
            <w:tcW w:type="dxa" w:w="240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214</w:t>
            </w:r>
          </w:p>
        </w:tc>
      </w:tr>
      <w:tr>
        <w:trPr>
          <w:cantSplit/>
        </w:trPr>
        <w:tc>
          <w:tcPr>
            <w:tcW w:type="dxa" w:w="2401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飞手人效提升</w:t>
            </w:r>
          </w:p>
        </w:tc>
        <w:tc>
          <w:tcPr>
            <w:tcW w:type="dxa" w:w="196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年升 15%</w:t>
            </w:r>
          </w:p>
        </w:tc>
        <w:tc>
          <w:tcPr>
            <w:tcW w:type="dxa" w:w="196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年升 8%</w:t>
            </w:r>
          </w:p>
        </w:tc>
        <w:tc>
          <w:tcPr>
            <w:tcW w:type="dxa" w:w="240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196</w:t>
            </w:r>
          </w:p>
        </w:tc>
      </w:tr>
      <w:tr>
        <w:trPr>
          <w:cantSplit/>
        </w:trPr>
        <w:tc>
          <w:tcPr>
            <w:tcW w:type="dxa" w:w="2401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集采渗透率</w:t>
            </w:r>
          </w:p>
        </w:tc>
        <w:tc>
          <w:tcPr>
            <w:tcW w:type="dxa" w:w="196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25%</w:t>
            </w:r>
          </w:p>
        </w:tc>
        <w:tc>
          <w:tcPr>
            <w:tcW w:type="dxa" w:w="196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15%</w:t>
            </w:r>
          </w:p>
        </w:tc>
        <w:tc>
          <w:tcPr>
            <w:tcW w:type="dxa" w:w="240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228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keepNext/>
        <w:keepLines/>
        <w:spacing w:before="200" w:after="100" w:line="360" w:lineRule="auto"/>
        <w:outlineLvl w:val="1"/>
      </w:pPr>
      <w:r>
        <w:rPr>
          <w:rFonts w:ascii="黑体" w:hAnsi="黑体" w:eastAsia="黑体"/>
          <w:b/>
          <w:color w:val="111827"/>
          <w:sz w:val="25"/>
        </w:rPr>
        <w:t>5.1 成本结构与现金流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成本分固定与可变两部分。固定成本主要是设备折旧与团队薪酬，首年约 62 万元；可变成本随服务面积线性增长，单亩约 4.4 元。这意味着规模越大、毛利率越高，但前提是设备利用率跟得上。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现金流的最大问题是季节性错配：作业集中在 4—9 月，收入集中在这 6 个月，而人员与设备成本全年发生。首年需要预留至少 25 万元的运营资金用于跨季周转。这也是本轮融资 300 万元中，有 90 万元用于团队而非设备的原因（见表 8）。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8　现金流关键节点与当月净流入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879"/>
        <w:gridCol w:w="1547"/>
        <w:gridCol w:w="1989"/>
        <w:gridCol w:w="3315"/>
      </w:tblGrid>
      <w:tr>
        <w:trPr>
          <w:tblHeader/>
          <w:cantSplit/>
        </w:trPr>
        <w:tc>
          <w:tcPr>
            <w:tcW w:type="dxa" w:w="1879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现金流节点</w:t>
            </w:r>
          </w:p>
        </w:tc>
        <w:tc>
          <w:tcPr>
            <w:tcW w:type="dxa" w:w="1547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月份</w:t>
            </w:r>
          </w:p>
        </w:tc>
        <w:tc>
          <w:tcPr>
            <w:tcW w:type="dxa" w:w="1989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净流入（万元）</w:t>
            </w:r>
          </w:p>
        </w:tc>
        <w:tc>
          <w:tcPr>
            <w:tcW w:type="dxa" w:w="3315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说明</w:t>
            </w:r>
          </w:p>
        </w:tc>
      </w:tr>
      <w:tr>
        <w:trPr>
          <w:cantSplit/>
        </w:trPr>
        <w:tc>
          <w:tcPr>
            <w:tcW w:type="dxa" w:w="1879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春耕季</w:t>
            </w:r>
          </w:p>
        </w:tc>
        <w:tc>
          <w:tcPr>
            <w:tcW w:type="dxa" w:w="154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3—5 月</w:t>
            </w:r>
          </w:p>
        </w:tc>
        <w:tc>
          <w:tcPr>
            <w:tcW w:type="dxa" w:w="198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+38</w:t>
            </w:r>
          </w:p>
        </w:tc>
        <w:tc>
          <w:tcPr>
            <w:tcW w:type="dxa" w:w="331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小麦与早稻巡田集中期</w:t>
            </w:r>
          </w:p>
        </w:tc>
      </w:tr>
      <w:tr>
        <w:trPr>
          <w:cantSplit/>
        </w:trPr>
        <w:tc>
          <w:tcPr>
            <w:tcW w:type="dxa" w:w="1879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夏管季</w:t>
            </w:r>
          </w:p>
        </w:tc>
        <w:tc>
          <w:tcPr>
            <w:tcW w:type="dxa" w:w="154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6—8 月</w:t>
            </w:r>
          </w:p>
        </w:tc>
        <w:tc>
          <w:tcPr>
            <w:tcW w:type="dxa" w:w="198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+52</w:t>
            </w:r>
          </w:p>
        </w:tc>
        <w:tc>
          <w:tcPr>
            <w:tcW w:type="dxa" w:w="331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水稻与玉米主战场</w:t>
            </w:r>
          </w:p>
        </w:tc>
      </w:tr>
      <w:tr>
        <w:trPr>
          <w:cantSplit/>
        </w:trPr>
        <w:tc>
          <w:tcPr>
            <w:tcW w:type="dxa" w:w="1879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秋收季</w:t>
            </w:r>
          </w:p>
        </w:tc>
        <w:tc>
          <w:tcPr>
            <w:tcW w:type="dxa" w:w="154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9—10 月</w:t>
            </w:r>
          </w:p>
        </w:tc>
        <w:tc>
          <w:tcPr>
            <w:tcW w:type="dxa" w:w="198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+24</w:t>
            </w:r>
          </w:p>
        </w:tc>
        <w:tc>
          <w:tcPr>
            <w:tcW w:type="dxa" w:w="331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晚稻与秋粮</w:t>
            </w:r>
          </w:p>
        </w:tc>
      </w:tr>
      <w:tr>
        <w:trPr>
          <w:cantSplit/>
        </w:trPr>
        <w:tc>
          <w:tcPr>
            <w:tcW w:type="dxa" w:w="1879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淡季</w:t>
            </w:r>
          </w:p>
        </w:tc>
        <w:tc>
          <w:tcPr>
            <w:tcW w:type="dxa" w:w="154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11—2 月</w:t>
            </w:r>
          </w:p>
        </w:tc>
        <w:tc>
          <w:tcPr>
            <w:tcW w:type="dxa" w:w="198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-46</w:t>
            </w:r>
          </w:p>
        </w:tc>
        <w:tc>
          <w:tcPr>
            <w:tcW w:type="dxa" w:w="331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人员与折旧支出，靠巡检业务补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keepNext/>
        <w:keepLines/>
        <w:spacing w:before="200" w:after="100" w:line="360" w:lineRule="auto"/>
        <w:outlineLvl w:val="1"/>
      </w:pPr>
      <w:r>
        <w:rPr>
          <w:rFonts w:ascii="黑体" w:hAnsi="黑体" w:eastAsia="黑体"/>
          <w:b/>
          <w:color w:val="111827"/>
          <w:sz w:val="25"/>
        </w:rPr>
        <w:t>5.2 关键财务假设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财务模型的可靠性取决于假设是否诚实。我们把五个关键假设单独列出，并注明依据来源，避免「拍脑袋定增长」（见表 9）。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9　财务模型的核心假设与取值依据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328"/>
        <w:gridCol w:w="2328"/>
        <w:gridCol w:w="4074"/>
      </w:tblGrid>
      <w:tr>
        <w:trPr>
          <w:tblHeader/>
          <w:cantSplit/>
        </w:trPr>
        <w:tc>
          <w:tcPr>
            <w:tcW w:type="dxa" w:w="2328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假设</w:t>
            </w:r>
          </w:p>
        </w:tc>
        <w:tc>
          <w:tcPr>
            <w:tcW w:type="dxa" w:w="2328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取值</w:t>
            </w:r>
          </w:p>
        </w:tc>
        <w:tc>
          <w:tcPr>
            <w:tcW w:type="dxa" w:w="4074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依据</w:t>
            </w:r>
          </w:p>
        </w:tc>
      </w:tr>
      <w:tr>
        <w:trPr>
          <w:cantSplit/>
        </w:trPr>
        <w:tc>
          <w:tcPr>
            <w:tcW w:type="dxa" w:w="2328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客户留存率</w:t>
            </w:r>
          </w:p>
        </w:tc>
        <w:tc>
          <w:tcPr>
            <w:tcW w:type="dxa" w:w="232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第 2 年起 70%</w:t>
            </w:r>
          </w:p>
        </w:tc>
        <w:tc>
          <w:tcPr>
            <w:tcW w:type="dxa" w:w="407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试点 3 家合作社全部续约，样本小，从严取 70%</w:t>
            </w:r>
          </w:p>
        </w:tc>
      </w:tr>
      <w:tr>
        <w:trPr>
          <w:cantSplit/>
        </w:trPr>
        <w:tc>
          <w:tcPr>
            <w:tcW w:type="dxa" w:w="2328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单亩价格年降幅</w:t>
            </w:r>
          </w:p>
        </w:tc>
        <w:tc>
          <w:tcPr>
            <w:tcW w:type="dxa" w:w="232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5%</w:t>
            </w:r>
          </w:p>
        </w:tc>
        <w:tc>
          <w:tcPr>
            <w:tcW w:type="dxa" w:w="407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参照农服行业普遍的年降幅</w:t>
            </w:r>
          </w:p>
        </w:tc>
      </w:tr>
      <w:tr>
        <w:trPr>
          <w:cantSplit/>
        </w:trPr>
        <w:tc>
          <w:tcPr>
            <w:tcW w:type="dxa" w:w="2328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飞手人效提升</w:t>
            </w:r>
          </w:p>
        </w:tc>
        <w:tc>
          <w:tcPr>
            <w:tcW w:type="dxa" w:w="232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年 15%</w:t>
            </w:r>
          </w:p>
        </w:tc>
        <w:tc>
          <w:tcPr>
            <w:tcW w:type="dxa" w:w="407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排班优化与航线聚类带来的可量化收益</w:t>
            </w:r>
          </w:p>
        </w:tc>
      </w:tr>
      <w:tr>
        <w:trPr>
          <w:cantSplit/>
        </w:trPr>
        <w:tc>
          <w:tcPr>
            <w:tcW w:type="dxa" w:w="2328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设备年利用率</w:t>
            </w:r>
          </w:p>
        </w:tc>
        <w:tc>
          <w:tcPr>
            <w:tcW w:type="dxa" w:w="232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35% → 58%</w:t>
            </w:r>
          </w:p>
        </w:tc>
        <w:tc>
          <w:tcPr>
            <w:tcW w:type="dxa" w:w="407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淡季承接巡检业务的实测数据</w:t>
            </w:r>
          </w:p>
        </w:tc>
      </w:tr>
      <w:tr>
        <w:trPr>
          <w:cantSplit/>
        </w:trPr>
        <w:tc>
          <w:tcPr>
            <w:tcW w:type="dxa" w:w="2328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集采渗透率</w:t>
            </w:r>
          </w:p>
        </w:tc>
        <w:tc>
          <w:tcPr>
            <w:tcW w:type="dxa" w:w="232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第 3 年起 25%</w:t>
            </w:r>
          </w:p>
        </w:tc>
        <w:tc>
          <w:tcPr>
            <w:tcW w:type="dxa" w:w="407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已签约合作社中有 8% 表达意向，按 3 倍乐观估计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其中「集采渗透率」是最不确定的一项，也是净利的主要来源。若最终只做到 15%，第 5 年净利降至 228 万元，模型仍然成立；但若低于 8%，项目就退化为一家薄利的服务队，失去投资价值。这是本轮融资需要向投资人明确说明的风险点。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财务模型从单亩算起。8 元/亩·次的收入结构能否成立，取决于四块成本能否被压到 4.4 元以内（见图 8）。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087981" cy="252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_unit_ec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87981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8　单亩单次经济模型：收入、成本与毛利的构成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这也是我们对「价格战」的回应：如果同行把价格压到 6 元，单亩毛利只剩 1.6 元，就必须靠极大规模摊薄固定成本才能活；我们不打算走这条路，而是靠数据服务把单价做上去。</w:t>
      </w:r>
    </w:p>
    <w:p>
      <w:pPr>
        <w:keepNext/>
        <w:keepLines/>
        <w:spacing w:before="200" w:after="100" w:line="360" w:lineRule="auto"/>
        <w:outlineLvl w:val="1"/>
      </w:pPr>
      <w:r>
        <w:rPr>
          <w:rFonts w:ascii="黑体" w:hAnsi="黑体" w:eastAsia="黑体"/>
          <w:b/>
          <w:color w:val="111827"/>
          <w:sz w:val="25"/>
        </w:rPr>
        <w:t>5.3 成本结构与盈亏平衡</w:t>
      </w:r>
    </w:p>
    <w:p>
      <w:pPr>
        <w:keepNext/>
        <w:keepLines/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单亩 8 元的收入如何被成本吃掉，拆开看是四块如表 10 所示：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10　单亩单次成本的四项构成与可控性判断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84"/>
        <w:gridCol w:w="1488"/>
        <w:gridCol w:w="1290"/>
        <w:gridCol w:w="3969"/>
      </w:tblGrid>
      <w:tr>
        <w:trPr>
          <w:tblHeader/>
          <w:cantSplit/>
        </w:trPr>
        <w:tc>
          <w:tcPr>
            <w:tcW w:type="dxa" w:w="1984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成本项</w:t>
            </w:r>
          </w:p>
        </w:tc>
        <w:tc>
          <w:tcPr>
            <w:tcW w:type="dxa" w:w="1488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元/亩·次</w:t>
            </w:r>
          </w:p>
        </w:tc>
        <w:tc>
          <w:tcPr>
            <w:tcW w:type="dxa" w:w="1290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占比</w:t>
            </w:r>
          </w:p>
        </w:tc>
        <w:tc>
          <w:tcPr>
            <w:tcW w:type="dxa" w:w="3969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可控性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飞手人工</w:t>
            </w:r>
          </w:p>
        </w:tc>
        <w:tc>
          <w:tcPr>
            <w:tcW w:type="dxa" w:w="148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1.7</w:t>
            </w:r>
          </w:p>
        </w:tc>
        <w:tc>
          <w:tcPr>
            <w:tcW w:type="dxa" w:w="129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39%</w:t>
            </w:r>
          </w:p>
        </w:tc>
        <w:tc>
          <w:tcPr>
            <w:tcW w:type="dxa" w:w="396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中：靠排班优化与本地招聘压降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设备折旧与油电</w:t>
            </w:r>
          </w:p>
        </w:tc>
        <w:tc>
          <w:tcPr>
            <w:tcW w:type="dxa" w:w="148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1.2</w:t>
            </w:r>
          </w:p>
        </w:tc>
        <w:tc>
          <w:tcPr>
            <w:tcW w:type="dxa" w:w="129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27%</w:t>
            </w:r>
          </w:p>
        </w:tc>
        <w:tc>
          <w:tcPr>
            <w:tcW w:type="dxa" w:w="396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低：取决于采购价与利用率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数据处理</w:t>
            </w:r>
          </w:p>
        </w:tc>
        <w:tc>
          <w:tcPr>
            <w:tcW w:type="dxa" w:w="148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0.6</w:t>
            </w:r>
          </w:p>
        </w:tc>
        <w:tc>
          <w:tcPr>
            <w:tcW w:type="dxa" w:w="129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14%</w:t>
            </w:r>
          </w:p>
        </w:tc>
        <w:tc>
          <w:tcPr>
            <w:tcW w:type="dxa" w:w="396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高：自动化程度提升后可持续下降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管理与损耗</w:t>
            </w:r>
          </w:p>
        </w:tc>
        <w:tc>
          <w:tcPr>
            <w:tcW w:type="dxa" w:w="148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0.9</w:t>
            </w:r>
          </w:p>
        </w:tc>
        <w:tc>
          <w:tcPr>
            <w:tcW w:type="dxa" w:w="129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20%</w:t>
            </w:r>
          </w:p>
        </w:tc>
        <w:tc>
          <w:tcPr>
            <w:tcW w:type="dxa" w:w="396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中：含转场、返工、坏账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把固定成本单独拎出来：人员、场地、软件与折旧合计约 49 万元/年。按单亩毛利 3.6 元测算，盈亏平衡点约 13.6 万亩次/年，折合约 3.4 万亩规模。第 3 年计划做到 33.5 万亩次，是安全线的 2.5 倍——这个倍数不算激进，因为农业服务对天气与季节高度敏感，留一倍余量是必须的（见图 9）。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72000" cy="266377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8_cashflow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663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9　三年净利润与累计现金流：第 2 年末为资金最低点，第 3 年累计转正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现金流的形状比利润更重要。第 1 年净亏 14 万元、第 2 年仍有 6 万元缺口，累计缺口最低点出现在第 2 年末，为 -20 万元。这个缺口不大，但时点很关键：恰好落在设备第二次采购与旺季垫资之间，如果不能及时补上，会直接丢掉一个作业季。本轮 300 万元融资中，预留 60 万元作为旺季周转金，就是为这个时点准备的。</w:t>
      </w:r>
    </w:p>
    <w:p>
      <w:pPr>
        <w:keepNext/>
        <w:keepLines/>
        <w:spacing w:before="200" w:after="100" w:line="360" w:lineRule="auto"/>
        <w:outlineLvl w:val="1"/>
      </w:pPr>
      <w:r>
        <w:rPr>
          <w:rFonts w:ascii="黑体" w:hAnsi="黑体" w:eastAsia="黑体"/>
          <w:b/>
          <w:color w:val="111827"/>
          <w:sz w:val="25"/>
        </w:rPr>
        <w:t>5.4 三种情景下的承受力</w:t>
      </w:r>
    </w:p>
    <w:p>
      <w:pPr>
        <w:keepNext/>
        <w:keepLines/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预测只有一种数字是不可信的，所以我们按单价与面积两个变量做了三情景如表 11 所示：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11　悲观、基准、乐观三种情景下的收入与净利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889"/>
        <w:gridCol w:w="1213"/>
        <w:gridCol w:w="1293"/>
        <w:gridCol w:w="1374"/>
        <w:gridCol w:w="1374"/>
        <w:gridCol w:w="2587"/>
      </w:tblGrid>
      <w:tr>
        <w:trPr>
          <w:tblHeader/>
          <w:cantSplit/>
        </w:trPr>
        <w:tc>
          <w:tcPr>
            <w:tcW w:type="dxa" w:w="889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情景</w:t>
            </w:r>
          </w:p>
        </w:tc>
        <w:tc>
          <w:tcPr>
            <w:tcW w:type="dxa" w:w="1213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单价</w:t>
            </w:r>
          </w:p>
        </w:tc>
        <w:tc>
          <w:tcPr>
            <w:tcW w:type="dxa" w:w="1293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服务面积</w:t>
            </w:r>
          </w:p>
        </w:tc>
        <w:tc>
          <w:tcPr>
            <w:tcW w:type="dxa" w:w="1374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第 3 年收入</w:t>
            </w:r>
          </w:p>
        </w:tc>
        <w:tc>
          <w:tcPr>
            <w:tcW w:type="dxa" w:w="1374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第 3 年净利</w:t>
            </w:r>
          </w:p>
        </w:tc>
        <w:tc>
          <w:tcPr>
            <w:tcW w:type="dxa" w:w="2587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应对动作</w:t>
            </w:r>
          </w:p>
        </w:tc>
      </w:tr>
      <w:tr>
        <w:trPr>
          <w:cantSplit/>
        </w:trPr>
        <w:tc>
          <w:tcPr>
            <w:tcW w:type="dxa" w:w="889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悲观</w:t>
            </w:r>
          </w:p>
        </w:tc>
        <w:tc>
          <w:tcPr>
            <w:tcW w:type="dxa" w:w="121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6 元/亩·次</w:t>
            </w:r>
          </w:p>
        </w:tc>
        <w:tc>
          <w:tcPr>
            <w:tcW w:type="dxa" w:w="129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23.5 万亩次</w:t>
            </w:r>
          </w:p>
        </w:tc>
        <w:tc>
          <w:tcPr>
            <w:tcW w:type="dxa" w:w="137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141 万元</w:t>
            </w:r>
          </w:p>
        </w:tc>
        <w:tc>
          <w:tcPr>
            <w:tcW w:type="dxa" w:w="137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-12 万元</w:t>
            </w:r>
          </w:p>
        </w:tc>
        <w:tc>
          <w:tcPr>
            <w:tcW w:type="dxa" w:w="258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暂停扩张，把 3 个县做深</w:t>
            </w:r>
          </w:p>
        </w:tc>
      </w:tr>
      <w:tr>
        <w:trPr>
          <w:cantSplit/>
        </w:trPr>
        <w:tc>
          <w:tcPr>
            <w:tcW w:type="dxa" w:w="889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基准</w:t>
            </w:r>
          </w:p>
        </w:tc>
        <w:tc>
          <w:tcPr>
            <w:tcW w:type="dxa" w:w="121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8 元/亩·次</w:t>
            </w:r>
          </w:p>
        </w:tc>
        <w:tc>
          <w:tcPr>
            <w:tcW w:type="dxa" w:w="129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33.5 万亩次</w:t>
            </w:r>
          </w:p>
        </w:tc>
        <w:tc>
          <w:tcPr>
            <w:tcW w:type="dxa" w:w="137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268 万元</w:t>
            </w:r>
          </w:p>
        </w:tc>
        <w:tc>
          <w:tcPr>
            <w:tcW w:type="dxa" w:w="137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72 万元</w:t>
            </w:r>
          </w:p>
        </w:tc>
        <w:tc>
          <w:tcPr>
            <w:tcW w:type="dxa" w:w="258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按计划复制到第 5 个县</w:t>
            </w:r>
          </w:p>
        </w:tc>
      </w:tr>
      <w:tr>
        <w:trPr>
          <w:cantSplit/>
        </w:trPr>
        <w:tc>
          <w:tcPr>
            <w:tcW w:type="dxa" w:w="889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乐观</w:t>
            </w:r>
          </w:p>
        </w:tc>
        <w:tc>
          <w:tcPr>
            <w:tcW w:type="dxa" w:w="121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9 元/亩·次</w:t>
            </w:r>
          </w:p>
        </w:tc>
        <w:tc>
          <w:tcPr>
            <w:tcW w:type="dxa" w:w="129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40.2 万亩次</w:t>
            </w:r>
          </w:p>
        </w:tc>
        <w:tc>
          <w:tcPr>
            <w:tcW w:type="dxa" w:w="137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362 万元</w:t>
            </w:r>
          </w:p>
        </w:tc>
        <w:tc>
          <w:tcPr>
            <w:tcW w:type="dxa" w:w="137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136 万元</w:t>
            </w:r>
          </w:p>
        </w:tc>
        <w:tc>
          <w:tcPr>
            <w:tcW w:type="dxa" w:w="258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优先补飞手与数据人员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悲观情景下第 3 年仍然亏损 12 万元，这是必须承认的：如果单价被压到 6 元、面积只做到七成，这个模型跑不通。我们的判断是这种组合不会同时发生——单价下行通常伴随市场扩大，两者同向恶化的概率不高。但即使发生，亏损 12 万元也在可承受范围内，不会伤及本金。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需要说明：以上预测只计服务费收入，农资集采的佣金没有算进去。按第 3 年 25% 的集采渗透率估算，理论上还能增加 30 万元左右收入，但我们不把它写进预测——集采涉及资金垫付与供应链账期，对早期团队是负担而非助力，等服务体系稳定后再启动更稳妥。</w:t>
      </w:r>
    </w:p>
    <w:p>
      <w:pPr>
        <w:keepNext/>
        <w:keepLines/>
        <w:spacing w:before="200" w:after="100" w:line="360" w:lineRule="auto"/>
        <w:outlineLvl w:val="1"/>
      </w:pPr>
      <w:r>
        <w:rPr>
          <w:rFonts w:ascii="黑体" w:hAnsi="黑体" w:eastAsia="黑体"/>
          <w:b/>
          <w:color w:val="111827"/>
          <w:sz w:val="25"/>
        </w:rPr>
        <w:t>5.5 三张表的钩稽关系与现金流红线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财务预测最容易出的问题是收入、成本、现金三套数字各说各话。这份预测里，三张表是靠三条硬约束焊在一起的，任何一条被改动，其他地方必须跟着动。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第二条：净利润等于毛利减固定成本，不吃补贴、不做非经常性收益。第 1 年毛利 21.6 万元、固定成本 35.6 万元，亏 14 万元；第 3 年毛利 120.6 万元、固定成本 48.6 万元，净利 72 万元。两边的固定成本差 13 万元，主要是新增一个县的管理人员与办公，这个增幅是刻意压住的——固定成本一旦上去就下不来。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第三条：现金流的下限必须留出三个月的固定支出。按模型，资金最低点出现在第 2 年末，累计 −20 万元。这个数字之所以还能接受，是因为账上届时仍有约 12 万元，刚好覆盖三个月固定成本（每月约 4 万元）。如果这个余额掉到 8 万元以下，触发收缩动作：暂停第二个县的扩张，把飞手从 5 人减到 3 人，优先保住已签约地块的交付。</w:t>
      </w:r>
    </w:p>
    <w:p>
      <w:pPr>
        <w:keepNext/>
        <w:keepLines/>
        <w:spacing w:before="280" w:after="140" w:line="360" w:lineRule="auto"/>
        <w:outlineLvl w:val="0"/>
      </w:pPr>
      <w:r>
        <w:rPr>
          <w:rFonts w:ascii="黑体" w:hAnsi="黑体" w:eastAsia="黑体"/>
          <w:b/>
          <w:color w:val="111827"/>
          <w:sz w:val="30"/>
        </w:rPr>
        <w:t>六、融资与股权结构</w:t>
      </w:r>
    </w:p>
    <w:p>
      <w:pPr>
        <w:keepNext/>
        <w:keepLines/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本轮计划融资 300 万元，出让 12% 股权，资金用途如表 12 所示（见表 13）：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12　本轮融资用途与金额分配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40"/>
        <w:gridCol w:w="1940"/>
        <w:gridCol w:w="1401"/>
        <w:gridCol w:w="3449"/>
      </w:tblGrid>
      <w:tr>
        <w:trPr>
          <w:tblHeader/>
          <w:cantSplit/>
        </w:trPr>
        <w:tc>
          <w:tcPr>
            <w:tcW w:type="dxa" w:w="1940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用途</w:t>
            </w:r>
          </w:p>
        </w:tc>
        <w:tc>
          <w:tcPr>
            <w:tcW w:type="dxa" w:w="1940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金额（万元）</w:t>
            </w:r>
          </w:p>
        </w:tc>
        <w:tc>
          <w:tcPr>
            <w:tcW w:type="dxa" w:w="1401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占比</w:t>
            </w:r>
          </w:p>
        </w:tc>
        <w:tc>
          <w:tcPr>
            <w:tcW w:type="dxa" w:w="3449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说明</w:t>
            </w:r>
          </w:p>
        </w:tc>
      </w:tr>
      <w:tr>
        <w:trPr>
          <w:cantSplit/>
        </w:trPr>
        <w:tc>
          <w:tcPr>
            <w:tcW w:type="dxa" w:w="1940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设备采购</w:t>
            </w:r>
          </w:p>
        </w:tc>
        <w:tc>
          <w:tcPr>
            <w:tcW w:type="dxa" w:w="194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120</w:t>
            </w:r>
          </w:p>
        </w:tc>
        <w:tc>
          <w:tcPr>
            <w:tcW w:type="dxa" w:w="140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40%</w:t>
            </w:r>
          </w:p>
        </w:tc>
        <w:tc>
          <w:tcPr>
            <w:tcW w:type="dxa" w:w="344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多光谱无人机 8 架及备用电池</w:t>
            </w:r>
          </w:p>
        </w:tc>
      </w:tr>
      <w:tr>
        <w:trPr>
          <w:cantSplit/>
        </w:trPr>
        <w:tc>
          <w:tcPr>
            <w:tcW w:type="dxa" w:w="1940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团队建设</w:t>
            </w:r>
          </w:p>
        </w:tc>
        <w:tc>
          <w:tcPr>
            <w:tcW w:type="dxa" w:w="194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90</w:t>
            </w:r>
          </w:p>
        </w:tc>
        <w:tc>
          <w:tcPr>
            <w:tcW w:type="dxa" w:w="140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30%</w:t>
            </w:r>
          </w:p>
        </w:tc>
        <w:tc>
          <w:tcPr>
            <w:tcW w:type="dxa" w:w="344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飞手与算法人员招聘</w:t>
            </w:r>
          </w:p>
        </w:tc>
      </w:tr>
      <w:tr>
        <w:trPr>
          <w:cantSplit/>
        </w:trPr>
        <w:tc>
          <w:tcPr>
            <w:tcW w:type="dxa" w:w="1940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市场推广</w:t>
            </w:r>
          </w:p>
        </w:tc>
        <w:tc>
          <w:tcPr>
            <w:tcW w:type="dxa" w:w="194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60</w:t>
            </w:r>
          </w:p>
        </w:tc>
        <w:tc>
          <w:tcPr>
            <w:tcW w:type="dxa" w:w="140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20%</w:t>
            </w:r>
          </w:p>
        </w:tc>
        <w:tc>
          <w:tcPr>
            <w:tcW w:type="dxa" w:w="344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 个县域的地推与试点补贴</w:t>
            </w:r>
          </w:p>
        </w:tc>
      </w:tr>
      <w:tr>
        <w:trPr>
          <w:cantSplit/>
        </w:trPr>
        <w:tc>
          <w:tcPr>
            <w:tcW w:type="dxa" w:w="1940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研发投入</w:t>
            </w:r>
          </w:p>
        </w:tc>
        <w:tc>
          <w:tcPr>
            <w:tcW w:type="dxa" w:w="194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30</w:t>
            </w:r>
          </w:p>
        </w:tc>
        <w:tc>
          <w:tcPr>
            <w:tcW w:type="dxa" w:w="140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10%</w:t>
            </w:r>
          </w:p>
        </w:tc>
        <w:tc>
          <w:tcPr>
            <w:tcW w:type="dxa" w:w="344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长势模型迭代与小程序开发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13　股权结构与各方角色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910"/>
        <w:gridCol w:w="2328"/>
        <w:gridCol w:w="3492"/>
      </w:tblGrid>
      <w:tr>
        <w:trPr>
          <w:tblHeader/>
          <w:cantSplit/>
        </w:trPr>
        <w:tc>
          <w:tcPr>
            <w:tcW w:type="dxa" w:w="2910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股东</w:t>
            </w:r>
          </w:p>
        </w:tc>
        <w:tc>
          <w:tcPr>
            <w:tcW w:type="dxa" w:w="2328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持股比例</w:t>
            </w:r>
          </w:p>
        </w:tc>
        <w:tc>
          <w:tcPr>
            <w:tcW w:type="dxa" w:w="3492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角色</w:t>
            </w:r>
          </w:p>
        </w:tc>
      </w:tr>
      <w:tr>
        <w:trPr>
          <w:cantSplit/>
        </w:trPr>
        <w:tc>
          <w:tcPr>
            <w:tcW w:type="dxa" w:w="2910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创始团队</w:t>
            </w:r>
          </w:p>
        </w:tc>
        <w:tc>
          <w:tcPr>
            <w:tcW w:type="dxa" w:w="232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72%</w:t>
            </w:r>
          </w:p>
        </w:tc>
        <w:tc>
          <w:tcPr>
            <w:tcW w:type="dxa" w:w="3492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全职运营与技术</w:t>
            </w:r>
          </w:p>
        </w:tc>
      </w:tr>
      <w:tr>
        <w:trPr>
          <w:cantSplit/>
        </w:trPr>
        <w:tc>
          <w:tcPr>
            <w:tcW w:type="dxa" w:w="2910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指导教师</w:t>
            </w:r>
          </w:p>
        </w:tc>
        <w:tc>
          <w:tcPr>
            <w:tcW w:type="dxa" w:w="232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8%</w:t>
            </w:r>
          </w:p>
        </w:tc>
        <w:tc>
          <w:tcPr>
            <w:tcW w:type="dxa" w:w="3492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技术顾问</w:t>
            </w:r>
          </w:p>
        </w:tc>
      </w:tr>
      <w:tr>
        <w:trPr>
          <w:cantSplit/>
        </w:trPr>
        <w:tc>
          <w:tcPr>
            <w:tcW w:type="dxa" w:w="2910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本轮投资人</w:t>
            </w:r>
          </w:p>
        </w:tc>
        <w:tc>
          <w:tcPr>
            <w:tcW w:type="dxa" w:w="232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12%</w:t>
            </w:r>
          </w:p>
        </w:tc>
        <w:tc>
          <w:tcPr>
            <w:tcW w:type="dxa" w:w="3492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财务投资</w:t>
            </w:r>
          </w:p>
        </w:tc>
      </w:tr>
      <w:tr>
        <w:trPr>
          <w:cantSplit/>
        </w:trPr>
        <w:tc>
          <w:tcPr>
            <w:tcW w:type="dxa" w:w="2910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期权池</w:t>
            </w:r>
          </w:p>
        </w:tc>
        <w:tc>
          <w:tcPr>
            <w:tcW w:type="dxa" w:w="232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8%</w:t>
            </w:r>
          </w:p>
        </w:tc>
        <w:tc>
          <w:tcPr>
            <w:tcW w:type="dxa" w:w="3492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核心员工激励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本轮资金的使用节奏按季度拆分，而不是一次性投入。第 1 季度只采购 4 架设备，跑通单县模型后再追加；若单县模型未达标，剩余资金转为运营储备而非继续扩张。这个设计是为了避免「钱花完了、模型没跑通」的常见失败模式。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股权结构上，创始团队保留 72%，指导教师 8% 作为技术顾问，期权池 8% 用于核心飞手与算法人员。本轮投资人 12%，不设对赌条款，但约定单县模型的验收标准——签约面积 8000 亩、复购率 70%、单亩毛利转正，三项同时满足才算达标。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本轮融资 300 万元、出让 12% 股权，对应投后估值 2,500 万元。这个估值不是按同类公司对标出来的，而是按「三年内能交付什么」倒推：第 3 年净利 72 万元，对应静态市盈率约 35 倍，偏高；若按第 5 年净利 282 万元计算，对应约 9 倍，处于合理区间。我们向投资人明确说明：这是一笔按第 5 年退出定价的投资，前三年不指望分红（见表 14）。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14　融资款分期到账的节点、前置条件与用途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579"/>
        <w:gridCol w:w="1393"/>
        <w:gridCol w:w="3251"/>
        <w:gridCol w:w="2508"/>
      </w:tblGrid>
      <w:tr>
        <w:trPr>
          <w:tblHeader/>
          <w:cantSplit/>
        </w:trPr>
        <w:tc>
          <w:tcPr>
            <w:tcW w:type="dxa" w:w="1579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时间节点</w:t>
            </w:r>
          </w:p>
        </w:tc>
        <w:tc>
          <w:tcPr>
            <w:tcW w:type="dxa" w:w="1393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到账金额</w:t>
            </w:r>
          </w:p>
        </w:tc>
        <w:tc>
          <w:tcPr>
            <w:tcW w:type="dxa" w:w="3251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前置条件</w:t>
            </w:r>
          </w:p>
        </w:tc>
        <w:tc>
          <w:tcPr>
            <w:tcW w:type="dxa" w:w="2508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用途</w:t>
            </w:r>
          </w:p>
        </w:tc>
      </w:tr>
      <w:tr>
        <w:trPr>
          <w:cantSplit/>
        </w:trPr>
        <w:tc>
          <w:tcPr>
            <w:tcW w:type="dxa" w:w="1579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签约后 10 日内</w:t>
            </w:r>
          </w:p>
        </w:tc>
        <w:tc>
          <w:tcPr>
            <w:tcW w:type="dxa" w:w="139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180 万元</w:t>
            </w:r>
          </w:p>
        </w:tc>
        <w:tc>
          <w:tcPr>
            <w:tcW w:type="dxa" w:w="325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工商变更完成</w:t>
            </w:r>
          </w:p>
        </w:tc>
        <w:tc>
          <w:tcPr>
            <w:tcW w:type="dxa" w:w="250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设备采购 120 万、团队 60 万</w:t>
            </w:r>
          </w:p>
        </w:tc>
      </w:tr>
      <w:tr>
        <w:trPr>
          <w:cantSplit/>
        </w:trPr>
        <w:tc>
          <w:tcPr>
            <w:tcW w:type="dxa" w:w="1579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M6</w:t>
            </w:r>
          </w:p>
        </w:tc>
        <w:tc>
          <w:tcPr>
            <w:tcW w:type="dxa" w:w="139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60 万元</w:t>
            </w:r>
          </w:p>
        </w:tc>
        <w:tc>
          <w:tcPr>
            <w:tcW w:type="dxa" w:w="325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 个县首季服务完成、复购率 ≥80%</w:t>
            </w:r>
          </w:p>
        </w:tc>
        <w:tc>
          <w:tcPr>
            <w:tcW w:type="dxa" w:w="250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市场推广与试点补贴</w:t>
            </w:r>
          </w:p>
        </w:tc>
      </w:tr>
      <w:tr>
        <w:trPr>
          <w:cantSplit/>
        </w:trPr>
        <w:tc>
          <w:tcPr>
            <w:tcW w:type="dxa" w:w="1579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M12</w:t>
            </w:r>
          </w:p>
        </w:tc>
        <w:tc>
          <w:tcPr>
            <w:tcW w:type="dxa" w:w="139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60 万元</w:t>
            </w:r>
          </w:p>
        </w:tc>
        <w:tc>
          <w:tcPr>
            <w:tcW w:type="dxa" w:w="325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服务面积达 1.8 万亩次、毛利率 ≥20%</w:t>
            </w:r>
          </w:p>
        </w:tc>
        <w:tc>
          <w:tcPr>
            <w:tcW w:type="dxa" w:w="250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数据处理与模型迭代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分期到账不是投资人单方面的要求，也是我们主动提出的：一次性拿 300 万元，团队容易在还没验证的地域上花掉；分三笔、每笔绑定一个可核查的里程碑，等于给自己上了三次闹钟。如果 M6 的复购率没到 80%，我们宁可不拿第二笔，先解决问题。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股权结构上留了 8% 的期权池，用于飞手队长与数据负责人这两个关键岗位。农业服务的人才特点是「会飞的不愿意写报告、会写报告的不愿意下地」，能把两头连起来的人极少，必须用股权留。指导教师持股 8%，以技术顾问身份参与，不参与经营决策。</w:t>
      </w:r>
    </w:p>
    <w:p>
      <w:pPr>
        <w:keepNext/>
        <w:keepLines/>
        <w:spacing w:before="200" w:after="100" w:line="360" w:lineRule="auto"/>
        <w:outlineLvl w:val="1"/>
      </w:pPr>
      <w:r>
        <w:rPr>
          <w:rFonts w:ascii="黑体" w:hAnsi="黑体" w:eastAsia="黑体"/>
          <w:b/>
          <w:color w:val="111827"/>
          <w:sz w:val="25"/>
        </w:rPr>
        <w:t>6.1 资金用途与投后估值的推导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300 万元怎么花，比融多少更重要。按第一笔 180 万元的到账口径，我们把用途拆成四块，每一块都对应一个具体的交付物，而不是笼统的「运营资金」：设备与载荷 62 万元，换来 3 套多光谱载荷加 2 块备用电池组，决定作业能力上限；人员与培训 54 万元，养 5 名持证飞手和 2 名标注员，决定单县作业周期；市场与渠道 38 万元，用于首期 8 家合作社签约与三县农技站对接；软件与算力 26 万元，把地块档案系统上线、把模型训练跑完。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四块加起来正好 180 万元，没有留「预备费」这一项，是因为预备费在实际执行中几乎必然变成对失败的补贴。如果某一项超支，处理办法是从其他项里砍，而不是从账上另拿钱——这会强迫我们每个月重新判断哪件事最值得做。四块里任何一块没兑现，后果都是可量化的：设备不到位，作业能力锁死在 12 万亩次；人员不到位，单县作业周期从 9 天拖到 15 天，直接错过窗口；渠道钱省了，获客成本从 900 元反弹到 3,000 元以上；软件钱省了，交付退回纸质报告，地块档案这条壁垒就不存在了。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投后估值 2,500 万元是按可比法倒推的，不是拍脑袋。选取的可比对象是三家区域型农业服务公司，它们的共同特征是年服务面积 20 万—40 万亩次、净利率 15%—25%，市场给的估值中枢在年收入 6—9 倍。我们按第 3 年收入 268 万元、8 倍市销率折算，得到 2,144 万元，向上取整到 2,500 万元。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条款上我们逐条想过，落成下面这张清单。写这么细不是为了显得专业，而是因为条款谈判最怕「到时候再说」——真到那一步，创业公司几乎没有议价空间（见表 15）。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15　融资关键条款、投资人常见要求与本方立场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183"/>
        <w:gridCol w:w="2183"/>
        <w:gridCol w:w="2183"/>
        <w:gridCol w:w="2183"/>
      </w:tblGrid>
      <w:tr>
        <w:trPr>
          <w:tblHeader/>
          <w:cantSplit/>
        </w:trPr>
        <w:tc>
          <w:tcPr>
            <w:tcW w:type="dxa" w:w="2183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条款</w:t>
            </w:r>
          </w:p>
        </w:tc>
        <w:tc>
          <w:tcPr>
            <w:tcW w:type="dxa" w:w="2183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投资人常见要求</w:t>
            </w:r>
          </w:p>
        </w:tc>
        <w:tc>
          <w:tcPr>
            <w:tcW w:type="dxa" w:w="2183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我们的立场</w:t>
            </w:r>
          </w:p>
        </w:tc>
        <w:tc>
          <w:tcPr>
            <w:tcW w:type="dxa" w:w="2183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理由</w:t>
            </w:r>
          </w:p>
        </w:tc>
      </w:tr>
      <w:tr>
        <w:trPr>
          <w:cantSplit/>
        </w:trPr>
        <w:tc>
          <w:tcPr>
            <w:tcW w:type="dxa" w:w="2183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业绩对赌</w:t>
            </w:r>
          </w:p>
        </w:tc>
        <w:tc>
          <w:tcPr>
            <w:tcW w:type="dxa" w:w="218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按净利差额补偿股权</w:t>
            </w:r>
          </w:p>
        </w:tc>
        <w:tc>
          <w:tcPr>
            <w:tcW w:type="dxa" w:w="218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不接受</w:t>
            </w:r>
          </w:p>
        </w:tc>
        <w:tc>
          <w:tcPr>
            <w:tcW w:type="dxa" w:w="218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农业单年收入波动 20% 属正常，把天气波动变成股权稀释对双方都不公平</w:t>
            </w:r>
          </w:p>
        </w:tc>
      </w:tr>
      <w:tr>
        <w:trPr>
          <w:cantSplit/>
        </w:trPr>
        <w:tc>
          <w:tcPr>
            <w:tcW w:type="dxa" w:w="2183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分期到账</w:t>
            </w:r>
          </w:p>
        </w:tc>
        <w:tc>
          <w:tcPr>
            <w:tcW w:type="dxa" w:w="218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按里程碑分三笔</w:t>
            </w:r>
          </w:p>
        </w:tc>
        <w:tc>
          <w:tcPr>
            <w:tcW w:type="dxa" w:w="218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接受</w:t>
            </w:r>
          </w:p>
        </w:tc>
        <w:tc>
          <w:tcPr>
            <w:tcW w:type="dxa" w:w="218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把「没做到」的惩罚落在资金节奏上，而不是落在股权上</w:t>
            </w:r>
          </w:p>
        </w:tc>
      </w:tr>
      <w:tr>
        <w:trPr>
          <w:cantSplit/>
        </w:trPr>
        <w:tc>
          <w:tcPr>
            <w:tcW w:type="dxa" w:w="2183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一票否决权</w:t>
            </w:r>
          </w:p>
        </w:tc>
        <w:tc>
          <w:tcPr>
            <w:tcW w:type="dxa" w:w="218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覆盖重大与日常经营</w:t>
            </w:r>
          </w:p>
        </w:tc>
        <w:tc>
          <w:tcPr>
            <w:tcW w:type="dxa" w:w="218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不接受，限三类事项</w:t>
            </w:r>
          </w:p>
        </w:tc>
        <w:tc>
          <w:tcPr>
            <w:tcW w:type="dxa" w:w="218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定价、招聘、县域选择需一周内拍板，走董事会等于放弃作业窗口</w:t>
            </w:r>
          </w:p>
        </w:tc>
      </w:tr>
      <w:tr>
        <w:trPr>
          <w:cantSplit/>
        </w:trPr>
        <w:tc>
          <w:tcPr>
            <w:tcW w:type="dxa" w:w="2183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优先清算权</w:t>
            </w:r>
          </w:p>
        </w:tc>
        <w:tc>
          <w:tcPr>
            <w:tcW w:type="dxa" w:w="218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 倍参与型</w:t>
            </w:r>
          </w:p>
        </w:tc>
        <w:tc>
          <w:tcPr>
            <w:tcW w:type="dxa" w:w="218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不接受，接受 1 倍非参与型</w:t>
            </w:r>
          </w:p>
        </w:tc>
        <w:tc>
          <w:tcPr>
            <w:tcW w:type="dxa" w:w="218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 倍参与型在 2,500 万估值下等于把退出上限锁死，后续轮次无法定价</w:t>
            </w:r>
          </w:p>
        </w:tc>
      </w:tr>
      <w:tr>
        <w:trPr>
          <w:cantSplit/>
        </w:trPr>
        <w:tc>
          <w:tcPr>
            <w:tcW w:type="dxa" w:w="2183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反稀释条款</w:t>
            </w:r>
          </w:p>
        </w:tc>
        <w:tc>
          <w:tcPr>
            <w:tcW w:type="dxa" w:w="218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完全棘轮</w:t>
            </w:r>
          </w:p>
        </w:tc>
        <w:tc>
          <w:tcPr>
            <w:tcW w:type="dxa" w:w="218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不接受，接受加权平均</w:t>
            </w:r>
          </w:p>
        </w:tc>
        <w:tc>
          <w:tcPr>
            <w:tcW w:type="dxa" w:w="218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完全棘轮对后续融资的伤害是结构性的，会让 A 轮投资人直接退出谈判</w:t>
            </w:r>
          </w:p>
        </w:tc>
      </w:tr>
      <w:tr>
        <w:trPr>
          <w:cantSplit/>
        </w:trPr>
        <w:tc>
          <w:tcPr>
            <w:tcW w:type="dxa" w:w="2183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董事会席位</w:t>
            </w:r>
          </w:p>
        </w:tc>
        <w:tc>
          <w:tcPr>
            <w:tcW w:type="dxa" w:w="218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 席中占 2 席</w:t>
            </w:r>
          </w:p>
        </w:tc>
        <w:tc>
          <w:tcPr>
            <w:tcW w:type="dxa" w:w="218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不接受，5 席中占 2 席</w:t>
            </w:r>
          </w:p>
        </w:tc>
        <w:tc>
          <w:tcPr>
            <w:tcW w:type="dxa" w:w="218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创始团队需保持决策效率，同时给投资人留一个观察席位</w:t>
            </w:r>
          </w:p>
        </w:tc>
      </w:tr>
      <w:tr>
        <w:trPr>
          <w:cantSplit/>
        </w:trPr>
        <w:tc>
          <w:tcPr>
            <w:tcW w:type="dxa" w:w="2183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竞业限制</w:t>
            </w:r>
          </w:p>
        </w:tc>
        <w:tc>
          <w:tcPr>
            <w:tcW w:type="dxa" w:w="218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创始人 3 年</w:t>
            </w:r>
          </w:p>
        </w:tc>
        <w:tc>
          <w:tcPr>
            <w:tcW w:type="dxa" w:w="218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接受 2 年</w:t>
            </w:r>
          </w:p>
        </w:tc>
        <w:tc>
          <w:tcPr>
            <w:tcW w:type="dxa" w:w="218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农业服务行业窄，3 年竞业实质等于禁止从业，超出合理范围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下一轮的触发条件写在这里，是为了让这一轮的投资者知道我们打算怎么退。当三个县同时满足「作业量 ≥30 万亩次、复购率 ≥85%、单县净利为正」时，启动 A 轮，目标 1,500 万—2,000 万元，用于跨省复制。按当前排期，这个时点在第 3 年 Q2 到 Q3 之间；如果到第 3 年末仍未达成，我们不会硬推下一轮，而是把公司做成一家三个县的区域性服务商——它有稳定利润，只是没有故事。</w:t>
      </w:r>
    </w:p>
    <w:p>
      <w:pPr>
        <w:keepNext/>
        <w:keepLines/>
        <w:spacing w:before="280" w:after="140" w:line="360" w:lineRule="auto"/>
        <w:outlineLvl w:val="0"/>
      </w:pPr>
      <w:r>
        <w:rPr>
          <w:rFonts w:ascii="黑体" w:hAnsi="黑体" w:eastAsia="黑体"/>
          <w:b/>
          <w:color w:val="111827"/>
          <w:sz w:val="30"/>
        </w:rPr>
        <w:t>七、核心团队与组织架构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投资人看早期项目，第一看团队、第二看市场。这份材料里团队放在商业模式之后、财务之前，是因为农业服务这件事的成败很大程度上取决于「谁在县里蹲得住」，而不只是模型好不好（见图 10）（见表 16）。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72000" cy="231272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_org_char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312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10　核心团队组织架构与人员缺口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16　核心团队成员、过往经历与投入方式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384"/>
        <w:gridCol w:w="1810"/>
        <w:gridCol w:w="3407"/>
        <w:gridCol w:w="2129"/>
      </w:tblGrid>
      <w:tr>
        <w:trPr>
          <w:tblHeader/>
          <w:cantSplit/>
        </w:trPr>
        <w:tc>
          <w:tcPr>
            <w:tcW w:type="dxa" w:w="1384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成员</w:t>
            </w:r>
          </w:p>
        </w:tc>
        <w:tc>
          <w:tcPr>
            <w:tcW w:type="dxa" w:w="1810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角色</w:t>
            </w:r>
          </w:p>
        </w:tc>
        <w:tc>
          <w:tcPr>
            <w:tcW w:type="dxa" w:w="3407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主要经历</w:t>
            </w:r>
          </w:p>
        </w:tc>
        <w:tc>
          <w:tcPr>
            <w:tcW w:type="dxa" w:w="2129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投入方式</w:t>
            </w:r>
          </w:p>
        </w:tc>
      </w:tr>
      <w:tr>
        <w:trPr>
          <w:cantSplit/>
        </w:trPr>
        <w:tc>
          <w:tcPr>
            <w:tcW w:type="dxa" w:w="1384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王　浩</w:t>
            </w:r>
          </w:p>
        </w:tc>
        <w:tc>
          <w:tcPr>
            <w:tcW w:type="dxa" w:w="181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创始人 / CEO</w:t>
            </w:r>
          </w:p>
        </w:tc>
        <w:tc>
          <w:tcPr>
            <w:tcW w:type="dxa" w:w="340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经管学院在读，连续两年参与县域农服调研，牵头 3 个合作社签约</w:t>
            </w:r>
          </w:p>
        </w:tc>
        <w:tc>
          <w:tcPr>
            <w:tcW w:type="dxa" w:w="212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全职，负责融资与政府对接</w:t>
            </w:r>
          </w:p>
        </w:tc>
      </w:tr>
      <w:tr>
        <w:trPr>
          <w:cantSplit/>
        </w:trPr>
        <w:tc>
          <w:tcPr>
            <w:tcW w:type="dxa" w:w="1384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陈立新 教授</w:t>
            </w:r>
          </w:p>
        </w:tc>
        <w:tc>
          <w:tcPr>
            <w:tcW w:type="dxa" w:w="181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指导教师 / 技术顾问</w:t>
            </w:r>
          </w:p>
        </w:tc>
        <w:tc>
          <w:tcPr>
            <w:tcW w:type="dxa" w:w="340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作物表型与遥感方向，主持省部级项目 2 项</w:t>
            </w:r>
          </w:p>
        </w:tc>
        <w:tc>
          <w:tcPr>
            <w:tcW w:type="dxa" w:w="212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兼职，每月 2 次技术评审</w:t>
            </w:r>
          </w:p>
        </w:tc>
      </w:tr>
      <w:tr>
        <w:trPr>
          <w:cantSplit/>
        </w:trPr>
        <w:tc>
          <w:tcPr>
            <w:tcW w:type="dxa" w:w="1384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李　明</w:t>
            </w:r>
          </w:p>
        </w:tc>
        <w:tc>
          <w:tcPr>
            <w:tcW w:type="dxa" w:w="181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算法负责人</w:t>
            </w:r>
          </w:p>
        </w:tc>
        <w:tc>
          <w:tcPr>
            <w:tcW w:type="dxa" w:w="340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计算机专业，做过无人机路径规划与视觉检测项目</w:t>
            </w:r>
          </w:p>
        </w:tc>
        <w:tc>
          <w:tcPr>
            <w:tcW w:type="dxa" w:w="212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全职，负责长势模型与报告生成</w:t>
            </w:r>
          </w:p>
        </w:tc>
      </w:tr>
      <w:tr>
        <w:trPr>
          <w:cantSplit/>
        </w:trPr>
        <w:tc>
          <w:tcPr>
            <w:tcW w:type="dxa" w:w="1384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张　强</w:t>
            </w:r>
          </w:p>
        </w:tc>
        <w:tc>
          <w:tcPr>
            <w:tcW w:type="dxa" w:w="181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作业负责人（拟聘）</w:t>
            </w:r>
          </w:p>
        </w:tc>
        <w:tc>
          <w:tcPr>
            <w:tcW w:type="dxa" w:w="340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本地飞手，持 CAAC 执照 3 年，熟悉水稻玉米作业窗口</w:t>
            </w:r>
          </w:p>
        </w:tc>
        <w:tc>
          <w:tcPr>
            <w:tcW w:type="dxa" w:w="212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全职，负责飞手培训与作业调度</w:t>
            </w:r>
          </w:p>
        </w:tc>
      </w:tr>
      <w:tr>
        <w:trPr>
          <w:cantSplit/>
        </w:trPr>
        <w:tc>
          <w:tcPr>
            <w:tcW w:type="dxa" w:w="1384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周　宁</w:t>
            </w:r>
          </w:p>
        </w:tc>
        <w:tc>
          <w:tcPr>
            <w:tcW w:type="dxa" w:w="181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市场负责人（拟聘）</w:t>
            </w:r>
          </w:p>
        </w:tc>
        <w:tc>
          <w:tcPr>
            <w:tcW w:type="dxa" w:w="340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县农技站工作 6 年，熟悉合作社与农资渠道</w:t>
            </w:r>
          </w:p>
        </w:tc>
        <w:tc>
          <w:tcPr>
            <w:tcW w:type="dxa" w:w="212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全职，负责县域合伙方拓展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分工原则是「一个人只对一个结果负责」：王浩对融资额与政府关系负责，李明对报告准确率负责，张强对作业按时率负责，周宁对签约面积负责。每周一次例会，只对未达成的指标做归因，不做工作汇报——汇报会把例会变成表演，归因才能暴露问题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股权结构上创始团队保留 72%，指导教师 8% 作为技术顾问，期权池 8% 留给核心飞手与算法人员，投资人 12%。期权池按四年成熟、第一年 cliff 的方式授予，这是为了让「飞手能不能长期留下」这件事有制度支撑——农业服务最怕旺季前骨干走人。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团队的短板很明确：缺一个懂农资供应链的人。目前靠周宁的渠道关系临时补位，但集采业务一旦上量，采购与账期管理需要专职人手。这一块计划在 A 轮前引进，也是本轮融资用途中「团队建设」一项的主要去向。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5 人全职团队的分工不是按职能切的，而是按「一个县能不能独立跑完」切的：每个人都要能独立完成从接单到交付的全流程，否则一旦有人离职，某个县的服务就会停摆（见表 17）。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17　团队现有角色、人数、职责与能力缺口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08"/>
        <w:gridCol w:w="1033"/>
        <w:gridCol w:w="3943"/>
        <w:gridCol w:w="2347"/>
      </w:tblGrid>
      <w:tr>
        <w:trPr>
          <w:tblHeader/>
          <w:cantSplit/>
        </w:trPr>
        <w:tc>
          <w:tcPr>
            <w:tcW w:type="dxa" w:w="1408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角色</w:t>
            </w:r>
          </w:p>
        </w:tc>
        <w:tc>
          <w:tcPr>
            <w:tcW w:type="dxa" w:w="1033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人数</w:t>
            </w:r>
          </w:p>
        </w:tc>
        <w:tc>
          <w:tcPr>
            <w:tcW w:type="dxa" w:w="3943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核心职责</w:t>
            </w:r>
          </w:p>
        </w:tc>
        <w:tc>
          <w:tcPr>
            <w:tcW w:type="dxa" w:w="2347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当前缺口</w:t>
            </w:r>
          </w:p>
        </w:tc>
      </w:tr>
      <w:tr>
        <w:trPr>
          <w:cantSplit/>
        </w:trPr>
        <w:tc>
          <w:tcPr>
            <w:tcW w:type="dxa" w:w="1408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项目负责人</w:t>
            </w:r>
          </w:p>
        </w:tc>
        <w:tc>
          <w:tcPr>
            <w:tcW w:type="dxa" w:w="103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</w:t>
            </w:r>
          </w:p>
        </w:tc>
        <w:tc>
          <w:tcPr>
            <w:tcW w:type="dxa" w:w="394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县域拓展、合作社关系、融资与对赌交付</w:t>
            </w:r>
          </w:p>
        </w:tc>
        <w:tc>
          <w:tcPr>
            <w:tcW w:type="dxa" w:w="234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无</w:t>
            </w:r>
          </w:p>
        </w:tc>
      </w:tr>
      <w:tr>
        <w:trPr>
          <w:cantSplit/>
        </w:trPr>
        <w:tc>
          <w:tcPr>
            <w:tcW w:type="dxa" w:w="1408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飞手队长</w:t>
            </w:r>
          </w:p>
        </w:tc>
        <w:tc>
          <w:tcPr>
            <w:tcW w:type="dxa" w:w="103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</w:t>
            </w:r>
          </w:p>
        </w:tc>
        <w:tc>
          <w:tcPr>
            <w:tcW w:type="dxa" w:w="394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作业排班、设备维护、新人带教</w:t>
            </w:r>
          </w:p>
        </w:tc>
        <w:tc>
          <w:tcPr>
            <w:tcW w:type="dxa" w:w="234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缺 1 名备份队长</w:t>
            </w:r>
          </w:p>
        </w:tc>
      </w:tr>
      <w:tr>
        <w:trPr>
          <w:cantSplit/>
        </w:trPr>
        <w:tc>
          <w:tcPr>
            <w:tcW w:type="dxa" w:w="1408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数据处理</w:t>
            </w:r>
          </w:p>
        </w:tc>
        <w:tc>
          <w:tcPr>
            <w:tcW w:type="dxa" w:w="103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</w:t>
            </w:r>
          </w:p>
        </w:tc>
        <w:tc>
          <w:tcPr>
            <w:tcW w:type="dxa" w:w="394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影像处理、异常地块复核、报告产出</w:t>
            </w:r>
          </w:p>
        </w:tc>
        <w:tc>
          <w:tcPr>
            <w:tcW w:type="dxa" w:w="234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缺 1 名熟手</w:t>
            </w:r>
          </w:p>
        </w:tc>
      </w:tr>
      <w:tr>
        <w:trPr>
          <w:cantSplit/>
        </w:trPr>
        <w:tc>
          <w:tcPr>
            <w:tcW w:type="dxa" w:w="1408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农艺顾问</w:t>
            </w:r>
          </w:p>
        </w:tc>
        <w:tc>
          <w:tcPr>
            <w:tcW w:type="dxa" w:w="103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1（兼职）</w:t>
            </w:r>
          </w:p>
        </w:tc>
        <w:tc>
          <w:tcPr>
            <w:tcW w:type="dxa" w:w="394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用药建议口径、模型标注规则</w:t>
            </w:r>
          </w:p>
        </w:tc>
        <w:tc>
          <w:tcPr>
            <w:tcW w:type="dxa" w:w="234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需转为长期顾问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两个能力缺口必须在 M6 之前补上。飞手队长缺备份，意味着旺季一旦他病倒，三个县的作业会同时延误——这在农业服务里是致命的，因为用药窗口通常只有 3—5 天。数据处理缺熟手，会直接卡住交付周期，目前一份报告平均 6 小时产出，目标是压到 3 小时。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招聘上我们不打「大厂背景」的牌。飞手从本县招、退伍军人与农机手优先，培训两周上岗，旺季作业、淡季做设备维护与数据标注；数据岗从本地高职院校的测绘、遥感专业招，起薪不高但稳定，人员流失率明显低于从城市招。这套用人策略牺牲了一部分上限，换来了可复制性——毕竟我们要复制的是 5 个县，不是 5 个城市。</w:t>
      </w:r>
    </w:p>
    <w:p>
      <w:pPr>
        <w:keepNext/>
        <w:keepLines/>
        <w:spacing w:before="200" w:after="100" w:line="360" w:lineRule="auto"/>
        <w:outlineLvl w:val="1"/>
      </w:pPr>
      <w:r>
        <w:rPr>
          <w:rFonts w:ascii="黑体" w:hAnsi="黑体" w:eastAsia="黑体"/>
          <w:b/>
          <w:color w:val="111827"/>
          <w:sz w:val="25"/>
        </w:rPr>
        <w:t>7.1 能力缺口与补齐节奏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全职 3 人，分工已经磨合过一轮：一人管县域拓展与合作社关系，一人管作业组织与飞手，一人管模型与数据；另有 2 名不持股顾问，一位县农技站退休站长、一位植保方向的高校老师。这个配置的短板很具体，不是「缺人才」这种笼统说法——一是没人管钱，账靠 Excel，作业量上到 10 万亩次时应收、返点、飞手计件三套账会立刻打结；二是没人做产品，处方图目前是把模型输出套模板，合作社反馈「看得懂但用不上」，他们要的是先打哪块、用什么药、打多少。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两个缺口的补法不一样。财务岗靠招，第 1 年 Q3 进人，要求不是会做账，是做过农业或工程类项目的应收账款管理，月薪给到 1.5 万元、高于本地 40%，因为账管不住比人贵更致命。产品岗靠蹲，第 1 年在三个县把农技站站长的判断逻辑一条条问出来，再固化成规则——产品经理可以从内部长出来，农业的领域知识只能从地里长出来。组织切分只有一条原则：一个县必须自己闭环完成签约、排期、飞行、出报告、收款，任何一环要跨县借人，就说明切分错了。激励上 15% 期权池分四年成熟、第一年 cliff，分配不看职级看岗位可替代性——飞手管理岗拿得比模型岗多，因为后者可以外包标注、可以买算力，而能把 5 个飞手、12 台设备、9 天窗口排明白的人，市场上找不到第二个。</w:t>
      </w:r>
    </w:p>
    <w:p>
      <w:pPr>
        <w:keepNext/>
        <w:keepLines/>
        <w:spacing w:before="280" w:after="140" w:line="360" w:lineRule="auto"/>
        <w:outlineLvl w:val="0"/>
      </w:pPr>
      <w:r>
        <w:rPr>
          <w:rFonts w:ascii="黑体" w:hAnsi="黑体" w:eastAsia="黑体"/>
          <w:b/>
          <w:color w:val="111827"/>
          <w:sz w:val="30"/>
        </w:rPr>
        <w:t>八、风险与应对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五个风险项按概率与影响定位后，真正威胁模型成立的是政策风险与资金风险两项——前者影响作业连续性，后者影响扩张节奏。技术风险在本项目中反而偏低，因为服务所用的多光谱成像与长势模型都已是成熟技术，不存在原理性不确定（见图 11）（见表 18）。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4400000" cy="252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risk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0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11　项目风险矩阵（概率 × 影响）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18　主要风险的触发条件与应对预案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637"/>
        <w:gridCol w:w="3274"/>
        <w:gridCol w:w="3820"/>
      </w:tblGrid>
      <w:tr>
        <w:trPr>
          <w:tblHeader/>
          <w:cantSplit/>
        </w:trPr>
        <w:tc>
          <w:tcPr>
            <w:tcW w:type="dxa" w:w="1637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风险</w:t>
            </w:r>
          </w:p>
        </w:tc>
        <w:tc>
          <w:tcPr>
            <w:tcW w:type="dxa" w:w="3274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触发条件</w:t>
            </w:r>
          </w:p>
        </w:tc>
        <w:tc>
          <w:tcPr>
            <w:tcW w:type="dxa" w:w="3820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应对预案</w:t>
            </w:r>
          </w:p>
        </w:tc>
      </w:tr>
      <w:tr>
        <w:trPr>
          <w:cantSplit/>
        </w:trPr>
        <w:tc>
          <w:tcPr>
            <w:tcW w:type="dxa" w:w="1637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政策风险</w:t>
            </w:r>
          </w:p>
        </w:tc>
        <w:tc>
          <w:tcPr>
            <w:tcW w:type="dxa" w:w="327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空域管理收紧，作业审批变慢</w:t>
            </w:r>
          </w:p>
        </w:tc>
        <w:tc>
          <w:tcPr>
            <w:tcW w:type="dxa" w:w="382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提前备案固定航线，与县级主管部门建立报备机制</w:t>
            </w:r>
          </w:p>
        </w:tc>
      </w:tr>
      <w:tr>
        <w:trPr>
          <w:cantSplit/>
        </w:trPr>
        <w:tc>
          <w:tcPr>
            <w:tcW w:type="dxa" w:w="1637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季节风险</w:t>
            </w:r>
          </w:p>
        </w:tc>
        <w:tc>
          <w:tcPr>
            <w:tcW w:type="dxa" w:w="327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生长季窗口缩短，作业集中</w:t>
            </w:r>
          </w:p>
        </w:tc>
        <w:tc>
          <w:tcPr>
            <w:tcW w:type="dxa" w:w="382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淡季转林业与水利巡检，平滑设备利用率</w:t>
            </w:r>
          </w:p>
        </w:tc>
      </w:tr>
      <w:tr>
        <w:trPr>
          <w:cantSplit/>
        </w:trPr>
        <w:tc>
          <w:tcPr>
            <w:tcW w:type="dxa" w:w="1637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竞争风险</w:t>
            </w:r>
          </w:p>
        </w:tc>
        <w:tc>
          <w:tcPr>
            <w:tcW w:type="dxa" w:w="327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植保厂商切入监测环节</w:t>
            </w:r>
          </w:p>
        </w:tc>
        <w:tc>
          <w:tcPr>
            <w:tcW w:type="dxa" w:w="382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加深数据壁垒，把服务做成「有历史记录可比对」</w:t>
            </w:r>
          </w:p>
        </w:tc>
      </w:tr>
      <w:tr>
        <w:trPr>
          <w:cantSplit/>
        </w:trPr>
        <w:tc>
          <w:tcPr>
            <w:tcW w:type="dxa" w:w="1637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资金风险</w:t>
            </w:r>
          </w:p>
        </w:tc>
        <w:tc>
          <w:tcPr>
            <w:tcW w:type="dxa" w:w="327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融资进度不及预期</w:t>
            </w:r>
          </w:p>
        </w:tc>
        <w:tc>
          <w:tcPr>
            <w:tcW w:type="dxa" w:w="382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控制扩张节奏，优先保证单县模型跑通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keepNext/>
        <w:keepLines/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风险不按「政策、市场、技术」这种分类写，因为那种分法不产生动作。我们按「多大概率、多大影响」排，只对右上角与中央区的项目配具体动作如图 12 所示（见表 19）：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72000" cy="291350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9_risk_hea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913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12　八项风险的概率—影响分布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19　八项风险的触发条件、应对预案与兜底方案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641"/>
        <w:gridCol w:w="1682"/>
        <w:gridCol w:w="2002"/>
        <w:gridCol w:w="2403"/>
        <w:gridCol w:w="2002"/>
      </w:tblGrid>
      <w:tr>
        <w:trPr>
          <w:tblHeader/>
          <w:cantSplit/>
        </w:trPr>
        <w:tc>
          <w:tcPr>
            <w:tcW w:type="dxa" w:w="641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编号</w:t>
            </w:r>
          </w:p>
        </w:tc>
        <w:tc>
          <w:tcPr>
            <w:tcW w:type="dxa" w:w="1682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风险</w:t>
            </w:r>
          </w:p>
        </w:tc>
        <w:tc>
          <w:tcPr>
            <w:tcW w:type="dxa" w:w="2002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触发条件</w:t>
            </w:r>
          </w:p>
        </w:tc>
        <w:tc>
          <w:tcPr>
            <w:tcW w:type="dxa" w:w="2403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应对</w:t>
            </w:r>
          </w:p>
        </w:tc>
        <w:tc>
          <w:tcPr>
            <w:tcW w:type="dxa" w:w="2002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兜底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R1</w:t>
            </w:r>
          </w:p>
        </w:tc>
        <w:tc>
          <w:tcPr>
            <w:tcW w:type="dxa" w:w="1682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作业窗口受天气挤压</w:t>
            </w:r>
          </w:p>
        </w:tc>
        <w:tc>
          <w:tcPr>
            <w:tcW w:type="dxa" w:w="2002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连续降雨超 5 天</w:t>
            </w:r>
          </w:p>
        </w:tc>
        <w:tc>
          <w:tcPr>
            <w:tcW w:type="dxa" w:w="240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按作物窗口排队，优先保付费客户</w:t>
            </w:r>
          </w:p>
        </w:tc>
        <w:tc>
          <w:tcPr>
            <w:tcW w:type="dxa" w:w="2002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与邻县飞防队互换作业量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R2</w:t>
            </w:r>
          </w:p>
        </w:tc>
        <w:tc>
          <w:tcPr>
            <w:tcW w:type="dxa" w:w="1682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飞手流失</w:t>
            </w:r>
          </w:p>
        </w:tc>
        <w:tc>
          <w:tcPr>
            <w:tcW w:type="dxa" w:w="2002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旺季前 1 个月内离职</w:t>
            </w:r>
          </w:p>
        </w:tc>
        <w:tc>
          <w:tcPr>
            <w:tcW w:type="dxa" w:w="240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备份队长 + 旺季临时工储备</w:t>
            </w:r>
          </w:p>
        </w:tc>
        <w:tc>
          <w:tcPr>
            <w:tcW w:type="dxa" w:w="2002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负责人顶班，缩减服务面积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R3</w:t>
            </w:r>
          </w:p>
        </w:tc>
        <w:tc>
          <w:tcPr>
            <w:tcW w:type="dxa" w:w="1682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价格战</w:t>
            </w:r>
          </w:p>
        </w:tc>
        <w:tc>
          <w:tcPr>
            <w:tcW w:type="dxa" w:w="2002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竞品在本地报价低于 5 元</w:t>
            </w:r>
          </w:p>
        </w:tc>
        <w:tc>
          <w:tcPr>
            <w:tcW w:type="dxa" w:w="240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不打价格战，转做档案档与包年</w:t>
            </w:r>
          </w:p>
        </w:tc>
        <w:tc>
          <w:tcPr>
            <w:tcW w:type="dxa" w:w="2002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退守 3 个县的存量客户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R4</w:t>
            </w:r>
          </w:p>
        </w:tc>
        <w:tc>
          <w:tcPr>
            <w:tcW w:type="dxa" w:w="1682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模型准确率不达预期</w:t>
            </w:r>
          </w:p>
        </w:tc>
        <w:tc>
          <w:tcPr>
            <w:tcW w:type="dxa" w:w="2002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异常地块漏检率 &gt;15%</w:t>
            </w:r>
          </w:p>
        </w:tc>
        <w:tc>
          <w:tcPr>
            <w:tcW w:type="dxa" w:w="240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人工复核比例提到 30%，同步补标注</w:t>
            </w:r>
          </w:p>
        </w:tc>
        <w:tc>
          <w:tcPr>
            <w:tcW w:type="dxa" w:w="2002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降级为「只报长势、不给建议」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R5</w:t>
            </w:r>
          </w:p>
        </w:tc>
        <w:tc>
          <w:tcPr>
            <w:tcW w:type="dxa" w:w="1682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补贴政策退坡</w:t>
            </w:r>
          </w:p>
        </w:tc>
        <w:tc>
          <w:tcPr>
            <w:tcW w:type="dxa" w:w="2002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省级补贴目录调整</w:t>
            </w:r>
          </w:p>
        </w:tc>
        <w:tc>
          <w:tcPr>
            <w:tcW w:type="dxa" w:w="240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不依赖补贴定价</w:t>
            </w:r>
          </w:p>
        </w:tc>
        <w:tc>
          <w:tcPr>
            <w:tcW w:type="dxa" w:w="2002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维持现有单价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R6</w:t>
            </w:r>
          </w:p>
        </w:tc>
        <w:tc>
          <w:tcPr>
            <w:tcW w:type="dxa" w:w="1682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回款账期拉长</w:t>
            </w:r>
          </w:p>
        </w:tc>
        <w:tc>
          <w:tcPr>
            <w:tcW w:type="dxa" w:w="2002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合作社账期由 30 天延至 90 天</w:t>
            </w:r>
          </w:p>
        </w:tc>
        <w:tc>
          <w:tcPr>
            <w:tcW w:type="dxa" w:w="240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预付 30%、尾款与报告交付挂钩</w:t>
            </w:r>
          </w:p>
        </w:tc>
        <w:tc>
          <w:tcPr>
            <w:tcW w:type="dxa" w:w="2002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启用预留的 60 万周转金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R7</w:t>
            </w:r>
          </w:p>
        </w:tc>
        <w:tc>
          <w:tcPr>
            <w:tcW w:type="dxa" w:w="1682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设备炸机与丢失</w:t>
            </w:r>
          </w:p>
        </w:tc>
        <w:tc>
          <w:tcPr>
            <w:tcW w:type="dxa" w:w="2002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单季事故 2 起以上</w:t>
            </w:r>
          </w:p>
        </w:tc>
        <w:tc>
          <w:tcPr>
            <w:tcW w:type="dxa" w:w="240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双人作业、保险全覆盖</w:t>
            </w:r>
          </w:p>
        </w:tc>
        <w:tc>
          <w:tcPr>
            <w:tcW w:type="dxa" w:w="2002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租赁设备过渡，不中断服务</w:t>
            </w:r>
          </w:p>
        </w:tc>
      </w:tr>
      <w:tr>
        <w:trPr>
          <w:cantSplit/>
        </w:trPr>
        <w:tc>
          <w:tcPr>
            <w:tcW w:type="dxa" w:w="641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R8</w:t>
            </w:r>
          </w:p>
        </w:tc>
        <w:tc>
          <w:tcPr>
            <w:tcW w:type="dxa" w:w="1682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竞品下沉县域</w:t>
            </w:r>
          </w:p>
        </w:tc>
        <w:tc>
          <w:tcPr>
            <w:tcW w:type="dxa" w:w="2002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头部厂商在本地设服务站</w:t>
            </w:r>
          </w:p>
        </w:tc>
        <w:tc>
          <w:tcPr>
            <w:tcW w:type="dxa" w:w="240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加深与合作社的绑定，做他们做不了的台账</w:t>
            </w:r>
          </w:p>
        </w:tc>
        <w:tc>
          <w:tcPr>
            <w:tcW w:type="dxa" w:w="2002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转向更细的作物专项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R3 与 R8 是真正会致命的：价格战会直接摧毁单位经济，竞品下沉会同时拿走渠道与客户。这两项的共同应对是同一件事——把客户关系从「买服务」变成「用台账」，一旦合作社的补贴申报、保险理赔依赖我们的材料，换供应商的成本就高了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R4 我们要多说一句：模型准确率是这个项目最不确定的地方。目前 91% 的预警准确率来自 3 个合作社、4,200 亩次的样本，样本量不足以支撑跨区域复制。我们的应对不是加大宣传，而是把人工复核比例维持在 30% 以上——宁可多花人力，也不能让农户因为一次误报而不信任。</w:t>
      </w:r>
    </w:p>
    <w:p>
      <w:pPr>
        <w:keepNext/>
        <w:keepLines/>
        <w:spacing w:before="200" w:after="100" w:line="360" w:lineRule="auto"/>
        <w:outlineLvl w:val="1"/>
      </w:pPr>
      <w:r>
        <w:rPr>
          <w:rFonts w:ascii="黑体" w:hAnsi="黑体" w:eastAsia="黑体"/>
          <w:b/>
          <w:color w:val="111827"/>
          <w:sz w:val="25"/>
        </w:rPr>
        <w:t>8.1 预警阈值与止损线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风险矩阵如果没有量化口径，只是一张好看的图。概率按「24 个月内至少发生一次」分四档（&lt;10% / 10%—30% / 30%—60% / &gt;60%），影响按「对第 3 年净利的冲击」分四档（&lt;10 万 / 10—30 万 / 30—60 万 / &gt;60 万或模式不成立），两维相乘，8 分以上必须预案，5—8 分持续监控。更重要的是把「担心」变成「动作」——下面这些阈值一旦触发，一线不用请示就可以动，事后复盘也有依据。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落到执行上，八项风险各配一条可观测的预警信号：作业窗口类看「连续 7 天降水或大风」与「单县进度滞后 25%」，触发即启动夜航排班与飞手跨县支援；飞手流失看「持证飞手少于 3 人」，触发即启用备用飞手库、临时提价 20% 抢人；价格战看「连续两月成交价低于 6.5 元」，触发即退出零散小单、只保整村整社；模型准确率看「田间复核一致率低于 80% 且连续两周」，触发即降级为人工判读加模型辅助，并如实告知客户；回款看「应收账款周转超过 90 天」，触发即停止该客户的新作业、改预付款制。这套阈值的用处是把「担心」变成「动作」——一线不用请示就能动，事后复盘也有依据。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止损线划在三处，每处都写清退出方式。第 2 年末若累计作业量低于 10 万亩次，说明「按亩收费」在这个区域跑不通，问题在需求不在执行——停止扩张，收缩成只服务 1 个县的服务队，年作业 5 万亩次、净利 8 万—12 万元，养活 3 人团队、不再融下一轮，这是个不好看但能活的结局。第 3 年 Q2 若三个县里两个县复购率低于 70%，问题在交付不在销售——砍掉一半客户，用一年把交付做扎实，接受收入倒退。第三条是现金：账上余额低于两个月固定支出（约 8 万元）且下一笔到账时间不确定时，立刻停掉所有新增投入，这条执行不需要开会，财务可以直接拦付款——把权限给财务而不是给创始人，是因为人在乐观时最不容易承认自己该刹车。写这些不是为了显得谨慎：我们见过的三家本地服务队，两家是把钱全押在设备上、遇到连阴雨作业量腰斩、飞手工资发不出直接散伙。</w:t>
      </w:r>
    </w:p>
    <w:p>
      <w:pPr>
        <w:keepNext/>
        <w:keepLines/>
        <w:spacing w:before="280" w:after="140" w:line="360" w:lineRule="auto"/>
        <w:outlineLvl w:val="0"/>
      </w:pPr>
      <w:r>
        <w:rPr>
          <w:rFonts w:ascii="黑体" w:hAnsi="黑体" w:eastAsia="黑体"/>
          <w:b/>
          <w:color w:val="111827"/>
          <w:sz w:val="30"/>
        </w:rPr>
        <w:t>九、实施路线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把商业模式落到时间轴上，分三个阶段推进。每个阶段只解决一个核心问题，不追求同时铺开——资源有限时，同时做三件事等于三件都做不成（见图 13）。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348767" cy="252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gant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48767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13　三阶段实施路线（M1—M12）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第一阶段（M1—M4）的核心是「产品定型」：把报告模板固定下来，完成 3 个合作社的连续四季服务，验证可复现性。验收标准是「同一地块相邻两次采集的长势等级跳变率低于 5%」。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第二阶段（M5—M9）的核心是「区域复制」：在 3 个县各找 1 个合作方，用同一套流程跑通。验收标准是「新飞手经 2 周培训后独立完成率 100%」。这一阶段最容易失败，因为每个县的关系、作物、地形都不同。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第三阶段（M10—M12）的核心是「数据闭环」：把三个县的作业数据汇总，训练跨区域的作物模型，并开始试点农资集采。验收标准是「跨区域模型在新区块的准确率不低于本地模型 5 个百分点」。</w:t>
      </w:r>
    </w:p>
    <w:p>
      <w:pPr>
        <w:keepNext/>
        <w:keepLines/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把三个阶段拆到月，每一项都带验收指标与责任人。没有验收指标的里程碑，等于没有里程碑如表 20 所示：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20　十二个月里程碑、验收指标与责任人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810"/>
        <w:gridCol w:w="2700"/>
        <w:gridCol w:w="3870"/>
        <w:gridCol w:w="1350"/>
      </w:tblGrid>
      <w:tr>
        <w:trPr>
          <w:tblHeader/>
          <w:cantSplit/>
        </w:trPr>
        <w:tc>
          <w:tcPr>
            <w:tcW w:type="dxa" w:w="810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时间</w:t>
            </w:r>
          </w:p>
        </w:tc>
        <w:tc>
          <w:tcPr>
            <w:tcW w:type="dxa" w:w="2700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里程碑</w:t>
            </w:r>
          </w:p>
        </w:tc>
        <w:tc>
          <w:tcPr>
            <w:tcW w:type="dxa" w:w="3870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验收指标</w:t>
            </w:r>
          </w:p>
        </w:tc>
        <w:tc>
          <w:tcPr>
            <w:tcW w:type="dxa" w:w="1350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责任人</w:t>
            </w:r>
          </w:p>
        </w:tc>
      </w:tr>
      <w:tr>
        <w:trPr>
          <w:cantSplit/>
        </w:trPr>
        <w:tc>
          <w:tcPr>
            <w:tcW w:type="dxa" w:w="810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M1</w:t>
            </w:r>
          </w:p>
        </w:tc>
        <w:tc>
          <w:tcPr>
            <w:tcW w:type="dxa" w:w="270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 个县合作社签约</w:t>
            </w:r>
          </w:p>
        </w:tc>
        <w:tc>
          <w:tcPr>
            <w:tcW w:type="dxa" w:w="387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签约面积 ≥1.5 万亩</w:t>
            </w:r>
          </w:p>
        </w:tc>
        <w:tc>
          <w:tcPr>
            <w:tcW w:type="dxa" w:w="135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负责人</w:t>
            </w:r>
          </w:p>
        </w:tc>
      </w:tr>
      <w:tr>
        <w:trPr>
          <w:cantSplit/>
        </w:trPr>
        <w:tc>
          <w:tcPr>
            <w:tcW w:type="dxa" w:w="810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M2</w:t>
            </w:r>
          </w:p>
        </w:tc>
        <w:tc>
          <w:tcPr>
            <w:tcW w:type="dxa" w:w="270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报告模板定型</w:t>
            </w:r>
          </w:p>
        </w:tc>
        <w:tc>
          <w:tcPr>
            <w:tcW w:type="dxa" w:w="387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同一地块连续两次等级跳变率 &lt;5%</w:t>
            </w:r>
          </w:p>
        </w:tc>
        <w:tc>
          <w:tcPr>
            <w:tcW w:type="dxa" w:w="135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数据</w:t>
            </w:r>
          </w:p>
        </w:tc>
      </w:tr>
      <w:tr>
        <w:trPr>
          <w:cantSplit/>
        </w:trPr>
        <w:tc>
          <w:tcPr>
            <w:tcW w:type="dxa" w:w="810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M3</w:t>
            </w:r>
          </w:p>
        </w:tc>
        <w:tc>
          <w:tcPr>
            <w:tcW w:type="dxa" w:w="270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首季全流程跑通</w:t>
            </w:r>
          </w:p>
        </w:tc>
        <w:tc>
          <w:tcPr>
            <w:tcW w:type="dxa" w:w="387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按期交付率 100%，返工 ≤2 次</w:t>
            </w:r>
          </w:p>
        </w:tc>
        <w:tc>
          <w:tcPr>
            <w:tcW w:type="dxa" w:w="135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飞手队长</w:t>
            </w:r>
          </w:p>
        </w:tc>
      </w:tr>
      <w:tr>
        <w:trPr>
          <w:cantSplit/>
        </w:trPr>
        <w:tc>
          <w:tcPr>
            <w:tcW w:type="dxa" w:w="810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M4</w:t>
            </w:r>
          </w:p>
        </w:tc>
        <w:tc>
          <w:tcPr>
            <w:tcW w:type="dxa" w:w="270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第一季复盘</w:t>
            </w:r>
          </w:p>
        </w:tc>
        <w:tc>
          <w:tcPr>
            <w:tcW w:type="dxa" w:w="387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客户满意度 ≥4.2/5，复购意向 ≥80%</w:t>
            </w:r>
          </w:p>
        </w:tc>
        <w:tc>
          <w:tcPr>
            <w:tcW w:type="dxa" w:w="135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负责人</w:t>
            </w:r>
          </w:p>
        </w:tc>
      </w:tr>
      <w:tr>
        <w:trPr>
          <w:cantSplit/>
        </w:trPr>
        <w:tc>
          <w:tcPr>
            <w:tcW w:type="dxa" w:w="810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M5</w:t>
            </w:r>
          </w:p>
        </w:tc>
        <w:tc>
          <w:tcPr>
            <w:tcW w:type="dxa" w:w="270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第 4、5 个县启动</w:t>
            </w:r>
          </w:p>
        </w:tc>
        <w:tc>
          <w:tcPr>
            <w:tcW w:type="dxa" w:w="387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新增签约 ≥8000 亩</w:t>
            </w:r>
          </w:p>
        </w:tc>
        <w:tc>
          <w:tcPr>
            <w:tcW w:type="dxa" w:w="135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负责人</w:t>
            </w:r>
          </w:p>
        </w:tc>
      </w:tr>
      <w:tr>
        <w:trPr>
          <w:cantSplit/>
        </w:trPr>
        <w:tc>
          <w:tcPr>
            <w:tcW w:type="dxa" w:w="810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M6</w:t>
            </w:r>
          </w:p>
        </w:tc>
        <w:tc>
          <w:tcPr>
            <w:tcW w:type="dxa" w:w="270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飞手培训体系成型</w:t>
            </w:r>
          </w:p>
        </w:tc>
        <w:tc>
          <w:tcPr>
            <w:tcW w:type="dxa" w:w="387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新飞手 2 周独立作业率 100%</w:t>
            </w:r>
          </w:p>
        </w:tc>
        <w:tc>
          <w:tcPr>
            <w:tcW w:type="dxa" w:w="135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飞手队长</w:t>
            </w:r>
          </w:p>
        </w:tc>
      </w:tr>
      <w:tr>
        <w:trPr>
          <w:cantSplit/>
        </w:trPr>
        <w:tc>
          <w:tcPr>
            <w:tcW w:type="dxa" w:w="810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M7</w:t>
            </w:r>
          </w:p>
        </w:tc>
        <w:tc>
          <w:tcPr>
            <w:tcW w:type="dxa" w:w="270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档案档产品上线</w:t>
            </w:r>
          </w:p>
        </w:tc>
        <w:tc>
          <w:tcPr>
            <w:tcW w:type="dxa" w:w="387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档案档占收入比 ≥15%</w:t>
            </w:r>
          </w:p>
        </w:tc>
        <w:tc>
          <w:tcPr>
            <w:tcW w:type="dxa" w:w="135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数据</w:t>
            </w:r>
          </w:p>
        </w:tc>
      </w:tr>
      <w:tr>
        <w:trPr>
          <w:cantSplit/>
        </w:trPr>
        <w:tc>
          <w:tcPr>
            <w:tcW w:type="dxa" w:w="810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M8</w:t>
            </w:r>
          </w:p>
        </w:tc>
        <w:tc>
          <w:tcPr>
            <w:tcW w:type="dxa" w:w="270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数据处理自动化</w:t>
            </w:r>
          </w:p>
        </w:tc>
        <w:tc>
          <w:tcPr>
            <w:tcW w:type="dxa" w:w="387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单份报告产出 ≤3 小时</w:t>
            </w:r>
          </w:p>
        </w:tc>
        <w:tc>
          <w:tcPr>
            <w:tcW w:type="dxa" w:w="135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数据</w:t>
            </w:r>
          </w:p>
        </w:tc>
      </w:tr>
      <w:tr>
        <w:trPr>
          <w:cantSplit/>
        </w:trPr>
        <w:tc>
          <w:tcPr>
            <w:tcW w:type="dxa" w:w="810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M9</w:t>
            </w:r>
          </w:p>
        </w:tc>
        <w:tc>
          <w:tcPr>
            <w:tcW w:type="dxa" w:w="270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第二季全量交付</w:t>
            </w:r>
          </w:p>
        </w:tc>
        <w:tc>
          <w:tcPr>
            <w:tcW w:type="dxa" w:w="387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服务面积累计 ≥2.4 万亩次</w:t>
            </w:r>
          </w:p>
        </w:tc>
        <w:tc>
          <w:tcPr>
            <w:tcW w:type="dxa" w:w="135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飞手队长</w:t>
            </w:r>
          </w:p>
        </w:tc>
      </w:tr>
      <w:tr>
        <w:trPr>
          <w:cantSplit/>
        </w:trPr>
        <w:tc>
          <w:tcPr>
            <w:tcW w:type="dxa" w:w="810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M10</w:t>
            </w:r>
          </w:p>
        </w:tc>
        <w:tc>
          <w:tcPr>
            <w:tcW w:type="dxa" w:w="270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跨区域模型训练</w:t>
            </w:r>
          </w:p>
        </w:tc>
        <w:tc>
          <w:tcPr>
            <w:tcW w:type="dxa" w:w="387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新区块准确率不低于本地 5 个百分点</w:t>
            </w:r>
          </w:p>
        </w:tc>
        <w:tc>
          <w:tcPr>
            <w:tcW w:type="dxa" w:w="135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数据</w:t>
            </w:r>
          </w:p>
        </w:tc>
      </w:tr>
      <w:tr>
        <w:trPr>
          <w:cantSplit/>
        </w:trPr>
        <w:tc>
          <w:tcPr>
            <w:tcW w:type="dxa" w:w="810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M11</w:t>
            </w:r>
          </w:p>
        </w:tc>
        <w:tc>
          <w:tcPr>
            <w:tcW w:type="dxa" w:w="270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集采试点准备</w:t>
            </w:r>
          </w:p>
        </w:tc>
        <w:tc>
          <w:tcPr>
            <w:tcW w:type="dxa" w:w="387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完成 2 家供应商比价与账期谈判</w:t>
            </w:r>
          </w:p>
        </w:tc>
        <w:tc>
          <w:tcPr>
            <w:tcW w:type="dxa" w:w="135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负责人</w:t>
            </w:r>
          </w:p>
        </w:tc>
      </w:tr>
      <w:tr>
        <w:trPr>
          <w:cantSplit/>
        </w:trPr>
        <w:tc>
          <w:tcPr>
            <w:tcW w:type="dxa" w:w="810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M12</w:t>
            </w:r>
          </w:p>
        </w:tc>
        <w:tc>
          <w:tcPr>
            <w:tcW w:type="dxa" w:w="270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年度复盘与对赌核验</w:t>
            </w:r>
          </w:p>
        </w:tc>
        <w:tc>
          <w:tcPr>
            <w:tcW w:type="dxa" w:w="387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收入、毛利、复购三项达标</w:t>
            </w:r>
          </w:p>
        </w:tc>
        <w:tc>
          <w:tcPr>
            <w:tcW w:type="dxa" w:w="135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全体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这张表里最容易延期的是 M5 和 M10。M5 延期通常不是能力问题，而是新县的关系没打通——所以我们把「签约」而不是「启动」作为验收指标；M10 延期则是数据量不够，如果三个县的作业数据撑不起跨区域模型，我们会把 M10 推到第二年，宁可晚半年，也不上线一个在其他县不准的模型。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整体节奏上，我们不追求「一年覆盖十个县」。农业服务的复制不是软件复制，每多一个县就多一套关系、一套作物日历、一套地形，团队的管理半径是硬约束。一年 3—5 个县，是我们能保证交付质量的极限——超了这个数，报告质量一定下降，而复购率是这门生意唯一的生命线。</w:t>
      </w:r>
    </w:p>
    <w:p>
      <w:pPr>
        <w:keepNext/>
        <w:keepLines/>
        <w:spacing w:before="200" w:after="100" w:line="360" w:lineRule="auto"/>
        <w:outlineLvl w:val="1"/>
      </w:pPr>
      <w:r>
        <w:rPr>
          <w:rFonts w:ascii="黑体" w:hAnsi="黑体" w:eastAsia="黑体"/>
          <w:b/>
          <w:color w:val="111827"/>
          <w:sz w:val="25"/>
        </w:rPr>
        <w:t>9.1 排期为什么是这个顺序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72000" cy="2811681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0_gantt_impl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8116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14　十二个月三条泳道的实施排期与里程碑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顺序由三个硬约束决定，任何一个排错，整年就废了。第一是生长季：冬小麦 3 月返青、4 月拔节、5 月灌浆，6 月后进入收获期，没有服务空间，所以采集流程标准化必须压在 M1—M3 完成、整村作业从 M4 开始；M3 结束时流程定不了稿，这一年就只能做演示、不能做收入。第二是执照：无人机经营许可与保险审批本地通常 6—10 周，且必须设备到位、飞手持证才能提交，这条链是串行的——招人（M1—M2）→ 培训考证（M2—M4）→ 提交（M4）→ 拿证（M5—M6），所以它是整张排期里唯一「越早越好」的任务：不产生收入，却卡住所有能产生收入的作业。第三是合作社的决策节奏：理事会通常一季度开一次，签约必须赶在会前递材料，错过 5 月那一轮就要等 8 月，整季窗口就过去了（见图 14）。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三条约束叠起来，决定三条泳道必须并行而不是串行。按「先把产品做好、再去找客户」的常规顺序，产品要到 M8 才定稿，而 M8 已经错过整个作业季。我们的做法是：最小可用版本先顶上，在 M4—M7 的真实作业里边跑边改，M8 之后迭代 v2——这也是模型 v2 排在 M8—M12 而不是更早的原因：没有真实回流数据，v2 无从改起。人力从 3 人增到 9 人，分三批进，每批都对应一个能被验证的节点：M1—M3 拿到标准化流程与首县 2 家意向书，M4—M6 拿到 1.2 万亩次实际作业与完整地块档案，M7—M9 拿到复购率首次统计 ≥80% 与第二县签约，M10—M12 拿到三县 3.6 万亩签约与首笔回款。季度验收统一用「能不能拿给客户看」作为口径——「流程完成度 80%」没有意义，「拿着这份流程，没做过的人能不能独立完成一次采集」才有意义。</w:t>
      </w:r>
    </w:p>
    <w:p>
      <w:pPr>
        <w:keepNext/>
        <w:keepLines/>
        <w:spacing w:before="280" w:after="140" w:line="360" w:lineRule="auto"/>
        <w:outlineLvl w:val="0"/>
      </w:pPr>
      <w:r>
        <w:rPr>
          <w:rFonts w:ascii="黑体" w:hAnsi="黑体" w:eastAsia="黑体"/>
          <w:b/>
          <w:color w:val="111827"/>
          <w:sz w:val="30"/>
        </w:rPr>
        <w:t>十、社会效益与就业带动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这个项目的价值不只体现在营收上。农业社会化服务的特点是「一家赚钱、一片受益」，所以我把它拆成可核查的三类效益（见表 21）。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21　社会效益的具体表现与测算口径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701"/>
        <w:gridCol w:w="4535"/>
        <w:gridCol w:w="2494"/>
      </w:tblGrid>
      <w:tr>
        <w:trPr>
          <w:tblHeader/>
          <w:cantSplit/>
        </w:trPr>
        <w:tc>
          <w:tcPr>
            <w:tcW w:type="dxa" w:w="1701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效益类型</w:t>
            </w:r>
          </w:p>
        </w:tc>
        <w:tc>
          <w:tcPr>
            <w:tcW w:type="dxa" w:w="4535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具体表现</w:t>
            </w:r>
          </w:p>
        </w:tc>
        <w:tc>
          <w:tcPr>
            <w:tcW w:type="dxa" w:w="2494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测算口径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农户增收</w:t>
            </w:r>
          </w:p>
        </w:tc>
        <w:tc>
          <w:tcPr>
            <w:tcW w:type="dxa" w:w="453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按需施肥减少氮肥过量施用，试点地块平均每亩节省投入 28 元；病虫害早发现使损失率下降约 3 个百分点</w:t>
            </w:r>
          </w:p>
        </w:tc>
        <w:tc>
          <w:tcPr>
            <w:tcW w:type="dxa" w:w="249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 个合作社 2026 年两季实测数据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返乡青年就业</w:t>
            </w:r>
          </w:p>
        </w:tc>
        <w:tc>
          <w:tcPr>
            <w:tcW w:type="dxa" w:w="453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每个县级服务站需飞手 3—5 人、数据处理 1 人、农资对接 1 人，单人年收入约 7—9 万元</w:t>
            </w:r>
          </w:p>
        </w:tc>
        <w:tc>
          <w:tcPr>
            <w:tcW w:type="dxa" w:w="249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按服务站编制与当地用工水平估算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基层数字化能力</w:t>
            </w:r>
          </w:p>
        </w:tc>
        <w:tc>
          <w:tcPr>
            <w:tcW w:type="dxa" w:w="453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为合作社建立地块档案与作业台账，使补贴申报、保险理赔有据可查</w:t>
            </w:r>
          </w:p>
        </w:tc>
        <w:tc>
          <w:tcPr>
            <w:tcW w:type="dxa" w:w="249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已为 3 家合作社建档 1.2 万亩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「农户增收」这一项我要说明测算的保守之处：28 元/亩只是化肥投入的节省，没有把增产部分算进去，也没有把人工节省折算成钱。原因是增产受品种、天气影响太大，把它算进商业计划书会让数字好看但不可信。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就业带动方面，我们刻意把服务站设计成「本地人做本地事」：飞手从本县招，培训 2 周上岗，旺季作业、淡季承接电力巡线等业务。这样既解决了农业服务强季节性的用工难题，也让岗位留得住人——一个只能干 5 个月的岗位，没人愿意认真学。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可复制性上，我们的判断是「流程可复制、关系不可复制」。流程（采集规范、报告模板、培训手册）可以标准化输出；但每个县的合作社关系、作物结构、地形条件都不同，必须由本地合作方承接。所以扩张方式是「县域合伙」而不是「直营复制」，这也决定了我们的增长速度不会很快——一年 3—5 个县，是我们团队能保证质量的极限。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最后一句实话：社会效益容易被写成宣传口径。我们的做法是每个季度公布一次作业面积、服务农户数与复购率，数据由合作社签字确认。数字不好看也照发，因为这是唯一能让「效益」不被夸大的办法。</w:t>
      </w:r>
    </w:p>
    <w:p>
      <w:pPr>
        <w:keepNext/>
        <w:keepLines/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把效益拆成三年可核验的数，而不是一句「助力乡村振兴」如表 22 所示：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22　社会效益的三年目标值与核验方式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716"/>
        <w:gridCol w:w="1552"/>
        <w:gridCol w:w="1552"/>
        <w:gridCol w:w="2910"/>
      </w:tblGrid>
      <w:tr>
        <w:trPr>
          <w:tblHeader/>
          <w:cantSplit/>
        </w:trPr>
        <w:tc>
          <w:tcPr>
            <w:tcW w:type="dxa" w:w="2716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指标</w:t>
            </w:r>
          </w:p>
        </w:tc>
        <w:tc>
          <w:tcPr>
            <w:tcW w:type="dxa" w:w="1552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第 1 年</w:t>
            </w:r>
          </w:p>
        </w:tc>
        <w:tc>
          <w:tcPr>
            <w:tcW w:type="dxa" w:w="1552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第 3 年</w:t>
            </w:r>
          </w:p>
        </w:tc>
        <w:tc>
          <w:tcPr>
            <w:tcW w:type="dxa" w:w="2910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核验方式</w:t>
            </w:r>
          </w:p>
        </w:tc>
      </w:tr>
      <w:tr>
        <w:trPr>
          <w:cantSplit/>
        </w:trPr>
        <w:tc>
          <w:tcPr>
            <w:tcW w:type="dxa" w:w="2716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服务面积（万亩次）</w:t>
            </w:r>
          </w:p>
        </w:tc>
        <w:tc>
          <w:tcPr>
            <w:tcW w:type="dxa" w:w="1552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6.0</w:t>
            </w:r>
          </w:p>
        </w:tc>
        <w:tc>
          <w:tcPr>
            <w:tcW w:type="dxa" w:w="1552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33.5</w:t>
            </w:r>
          </w:p>
        </w:tc>
        <w:tc>
          <w:tcPr>
            <w:tcW w:type="dxa" w:w="291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作业台账 + 合作社签字</w:t>
            </w:r>
          </w:p>
        </w:tc>
      </w:tr>
      <w:tr>
        <w:trPr>
          <w:cantSplit/>
        </w:trPr>
        <w:tc>
          <w:tcPr>
            <w:tcW w:type="dxa" w:w="2716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服务农户数（户）</w:t>
            </w:r>
          </w:p>
        </w:tc>
        <w:tc>
          <w:tcPr>
            <w:tcW w:type="dxa" w:w="1552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60</w:t>
            </w:r>
          </w:p>
        </w:tc>
        <w:tc>
          <w:tcPr>
            <w:tcW w:type="dxa" w:w="1552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380</w:t>
            </w:r>
          </w:p>
        </w:tc>
        <w:tc>
          <w:tcPr>
            <w:tcW w:type="dxa" w:w="291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合同与结算记录</w:t>
            </w:r>
          </w:p>
        </w:tc>
      </w:tr>
      <w:tr>
        <w:trPr>
          <w:cantSplit/>
        </w:trPr>
        <w:tc>
          <w:tcPr>
            <w:tcW w:type="dxa" w:w="2716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带动本地就业（人）</w:t>
            </w:r>
          </w:p>
        </w:tc>
        <w:tc>
          <w:tcPr>
            <w:tcW w:type="dxa" w:w="1552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8</w:t>
            </w:r>
          </w:p>
        </w:tc>
        <w:tc>
          <w:tcPr>
            <w:tcW w:type="dxa" w:w="1552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24</w:t>
            </w:r>
          </w:p>
        </w:tc>
        <w:tc>
          <w:tcPr>
            <w:tcW w:type="dxa" w:w="291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社保缴纳记录</w:t>
            </w:r>
          </w:p>
        </w:tc>
      </w:tr>
      <w:tr>
        <w:trPr>
          <w:cantSplit/>
        </w:trPr>
        <w:tc>
          <w:tcPr>
            <w:tcW w:type="dxa" w:w="2716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帮农户节省投入（万元）</w:t>
            </w:r>
          </w:p>
        </w:tc>
        <w:tc>
          <w:tcPr>
            <w:tcW w:type="dxa" w:w="1552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17</w:t>
            </w:r>
          </w:p>
        </w:tc>
        <w:tc>
          <w:tcPr>
            <w:tcW w:type="dxa" w:w="1552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94</w:t>
            </w:r>
          </w:p>
        </w:tc>
        <w:tc>
          <w:tcPr>
            <w:tcW w:type="dxa" w:w="291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按每亩节省 28 元测算</w:t>
            </w:r>
          </w:p>
        </w:tc>
      </w:tr>
      <w:tr>
        <w:trPr>
          <w:cantSplit/>
        </w:trPr>
        <w:tc>
          <w:tcPr>
            <w:tcW w:type="dxa" w:w="2716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建立地块档案（万亩）</w:t>
            </w:r>
          </w:p>
        </w:tc>
        <w:tc>
          <w:tcPr>
            <w:tcW w:type="dxa" w:w="1552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1.5</w:t>
            </w:r>
          </w:p>
        </w:tc>
        <w:tc>
          <w:tcPr>
            <w:tcW w:type="dxa" w:w="1552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8.4</w:t>
            </w:r>
          </w:p>
        </w:tc>
        <w:tc>
          <w:tcPr>
            <w:tcW w:type="dxa" w:w="291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档案系统导出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「帮农户节省投入」这一项按每亩 28 元计，只算化肥与农药的减少量，没有算增产、没有算人工节省。这个口径偏保守，但可核验：每个合作社都能拿出农资采购单对比。我们宁可把数字报小，也不想在答辩时被追问一句「这个数怎么来的」就答不上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就业这一项的难点不是数量，是稳定性。农业服务的岗位强季节性，一个只能干 5 个月的岗位留不住人。我们的解法是把淡季填上：设备维护、数据标注、电力巡线外包，让飞手一年有 10 个月有活干——这样招来的人才愿意学、也留得住。</w:t>
      </w:r>
    </w:p>
    <w:p>
      <w:pPr>
        <w:keepNext/>
        <w:keepLines/>
        <w:spacing w:before="200" w:after="100" w:line="360" w:lineRule="auto"/>
        <w:outlineLvl w:val="1"/>
      </w:pPr>
      <w:r>
        <w:rPr>
          <w:rFonts w:ascii="黑体" w:hAnsi="黑体" w:eastAsia="黑体"/>
          <w:b/>
          <w:color w:val="111827"/>
          <w:sz w:val="25"/>
        </w:rPr>
        <w:t>10.1 测算方法与口径边界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社会效益最容易写成空话，所以这里把算法摊开，并标出我们不主张的部分。减药量的口径是「减少无效施药次数」，不是「提高药效」：三个县农技站记录显示常规防治一年打药 6—8 次，其中约 1.5 次属于「看别人打自己也打」的预防性施药，监测把这类压到 0.5 次以内，按每次药费 18 元、人工 12 元计，每亩每年省 30 元——边界很清楚，省的是「少打一次」，不是「打得更好」。我们也没有把「因提前发现病害而避免的减产损失」算进来，尽管访谈里农户普遍认为这部分更大，但它无法被独立核验，写进去只会让整份测算失去可信度；所有社会效益数字都只统计能被第三方按同一方法复算的部分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就业带动的口径分两层：直接就业是公司自己雇的 9 名全职加约 14 名季节性飞手与标注员，季节性岗位按每人每年 4 个月折算 4.7 个全时当量；间接就业是合作社因承接作业新增的岗位，只统计有工资发放记录的，不做估算。同样有三句话我们不写：不说「助力乡村振兴」——正确但没有信息量；不说「带动农户增收 20%」——增收的主要变量是粮价与天气，不是我们的服务；不说「形成可复制的数字农业样板」——三个县撑不起「样板」这个词，更准确的说法是「在三个县验证了一套能算得过来的收费方式」。这份文档里所有关于未来的数字都是可被推翻的假设，不是承诺。</w:t>
      </w:r>
    </w:p>
    <w:sectPr w:rsidR="00FC693F" w:rsidRPr="0006063C" w:rsidSect="00034616">
      <w:footerReference w:type="default" r:id="rId9"/>
      <w:pgSz w:w="11906" w:h="16838"/>
      <w:pgMar w:top="1440" w:right="1474" w:bottom="1440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宋体" w:hAnsi="宋体" w:eastAsia="宋体"/>
        <w:b w:val="0"/>
        <w:color w:val="6B7280"/>
        <w:sz w:val="18"/>
      </w:rPr>
      <w:t xml:space="preserve">第 </w:t>
    </w:r>
    <w:r>
      <w:rPr>
        <w:rFonts w:ascii="宋体" w:hAnsi="宋体" w:eastAsia="宋体"/>
        <w:b w:val="0"/>
        <w:color w:val="6B7280"/>
        <w:sz w:val="18"/>
      </w:rPr>
      <w:fldChar w:fldCharType="begin"/>
    </w:r>
    <w:r>
      <w:rPr>
        <w:rFonts w:ascii="宋体" w:hAnsi="宋体" w:eastAsia="宋体"/>
        <w:b w:val="0"/>
        <w:color w:val="6B7280"/>
        <w:sz w:val="18"/>
      </w:rPr>
      <w:instrText xml:space="preserve"> PAGE </w:instrText>
    </w:r>
    <w:r>
      <w:rPr>
        <w:rFonts w:ascii="宋体" w:hAnsi="宋体" w:eastAsia="宋体"/>
        <w:b w:val="0"/>
        <w:color w:val="6B7280"/>
        <w:sz w:val="18"/>
      </w:rPr>
      <w:fldChar w:fldCharType="separate"/>
    </w:r>
    <w:r>
      <w:rPr>
        <w:rFonts w:ascii="宋体" w:hAnsi="宋体" w:eastAsia="宋体"/>
        <w:b w:val="0"/>
        <w:color w:val="6B7280"/>
        <w:sz w:val="18"/>
      </w:rPr>
      <w:t>1</w:t>
    </w:r>
    <w:r>
      <w:rPr>
        <w:rFonts w:ascii="宋体" w:hAnsi="宋体" w:eastAsia="宋体"/>
        <w:b w:val="0"/>
        <w:color w:val="6B7280"/>
        <w:sz w:val="18"/>
      </w:rPr>
      <w:fldChar w:fldCharType="end"/>
    </w:r>
    <w:r>
      <w:rPr>
        <w:rFonts w:ascii="宋体" w:hAnsi="宋体" w:eastAsia="宋体"/>
        <w:b w:val="0"/>
        <w:color w:val="6B7280"/>
        <w:sz w:val="18"/>
      </w:rPr>
      <w:t xml:space="preserve"> 页　共 </w:t>
    </w:r>
    <w:r>
      <w:rPr>
        <w:rFonts w:ascii="宋体" w:hAnsi="宋体" w:eastAsia="宋体"/>
        <w:b w:val="0"/>
        <w:color w:val="6B7280"/>
        <w:sz w:val="18"/>
      </w:rPr>
      <w:fldChar w:fldCharType="begin"/>
    </w:r>
    <w:r>
      <w:rPr>
        <w:rFonts w:ascii="宋体" w:hAnsi="宋体" w:eastAsia="宋体"/>
        <w:b w:val="0"/>
        <w:color w:val="6B7280"/>
        <w:sz w:val="18"/>
      </w:rPr>
      <w:instrText xml:space="preserve"> NUMPAGES </w:instrText>
    </w:r>
    <w:r>
      <w:rPr>
        <w:rFonts w:ascii="宋体" w:hAnsi="宋体" w:eastAsia="宋体"/>
        <w:b w:val="0"/>
        <w:color w:val="6B7280"/>
        <w:sz w:val="18"/>
      </w:rPr>
      <w:fldChar w:fldCharType="separate"/>
    </w:r>
    <w:r>
      <w:rPr>
        <w:rFonts w:ascii="宋体" w:hAnsi="宋体" w:eastAsia="宋体"/>
        <w:b w:val="0"/>
        <w:color w:val="6B7280"/>
        <w:sz w:val="18"/>
      </w:rPr>
      <w:t>1</w:t>
    </w:r>
    <w:r>
      <w:rPr>
        <w:rFonts w:ascii="宋体" w:hAnsi="宋体" w:eastAsia="宋体"/>
        <w:b w:val="0"/>
        <w:color w:val="6B7280"/>
        <w:sz w:val="18"/>
      </w:rPr>
      <w:fldChar w:fldCharType="end"/>
    </w:r>
    <w:r>
      <w:rPr>
        <w:rFonts w:ascii="宋体" w:hAnsi="宋体" w:eastAsia="宋体"/>
        <w:b w:val="0"/>
        <w:color w:val="6B7280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智农巡田</dc:title>
  <dc:subject>商业计划书</dc:subject>
  <dc:creator>示例文档</dc:creator>
  <cp:keywords>学生申报书; 示例; 排版规范</cp:keywords>
  <dc:description>虚构示例，仅用于展示申报书排版与图表规范</dc:description>
  <cp:lastModifiedBy>示例文档</cp:lastModifiedBy>
  <cp:revision>1</cp:revision>
  <dcterms:created xsi:type="dcterms:W3CDTF">2013-12-23T23:15:00Z</dcterms:created>
  <dcterms:modified xsi:type="dcterms:W3CDTF">2013-12-23T23:15:00Z</dcterms:modified>
  <cp:category/>
</cp:coreProperties>
</file>