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MobileNetV3[1]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[3]而选择通道剪枝[2]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篇。[1][4] 确定了骨干网络的选择，[2] 是剪枝方案的主要依据，[3] 用于说明本项目为何不采用蒸馏路线，[5] 作为精度上界的参照，[6] 提供了公开的垃圾图像数据基线，[7][8] 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基于轻量级神经网络的校园垃圾分类识别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