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股权，资金用途如表 7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投资人看早期项目，第一看团队、第二看市场。这份材料里团队放在商业模式之后、财务之前，是因为农业服务这件事的成败很大程度上取决于「谁在县里蹲得住」，而不只是模型好不好（见图 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（见图 7）。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这个项目的价值不只体现在营收上。农业社会化服务的特点是「一家赚钱、一片受益」，所以我把它拆成可核查的三类效益（见表 11）。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</dc:title>
  <dc:subject>商业计划书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