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ByteTrack[1] 的核心思路是把检测框按置信度分为高低两组，高分组用于建立轨迹，低分组用于补充匹配，从而在遮挡时保留轨迹连续性。这一设计在 MOT17[3]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BoT-SORT[2]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预期成果的内容与考核指标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研究条件的现有情况与满足度评级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主要风险的触发信号、影响与止损措施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文献检索说明：检索式以 multi-object tracking、data association、occlusion recovery 三组主题词组合，检得 168 篇，精读 62 篇。[1][2][5][6] 是关联环节的四条主要技术路线（纯 IoU、IoU + 相机补偿、强特征重识别、观测中心化），[4] 是 DeepSORT 的原始出处，[3] 给出评测基准与标注口径，[7] 是 MOTA / IDF1 指标的定义来源，[8] 用于确认边缘盒子接入既有监控系统的合规边界。正文中凡提到「已有工作」均指以上文献，不作泛称。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Zhang Y, Sun P, Jiang Y, et al. ByteTrack: Multi-Object Tracking by Associating Every Detection Box[C]. Proceedings of the European Conference on Computer Vision (ECCV), 2022: 1-21.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Aharon N, Orfaig R, Bobrovsky B Z. BoT-SORT: Robust Associations Multi-Pedestrian Tracking[J]. arXiv preprint arXiv:2206.14651, 2022.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Milan A, Leal-Taixé L, Reid I, et al. MOT16: A Benchmark for Multi-Object Tracking[J]. arXiv preprint arXiv:1603.00831,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Wojke N, Bewley A, Paulus D. Simple Online and Realtime Tracking with a Deep Association Metric[C]. Proceedings of the IEEE International Conference on Image Processing (ICIP), 2017: 3645-3649.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Du Y, Zhao Z, Song Y, et al. StrongSORT: Make DeepSORT Great Again[J]. IEEE Transactions on Multimedia, 2023, 25: 8725-8737.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Cao J, Pang J, Weng X, et al. Observation-Centric SORT: Rethinking SORT for Robust Multi-Object Tracking[C]. Proceedings of the IEEE/CVF Conference on Computer Vision and Pattern Recognition (CVPR), 2023: 9686-9696.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Bernardin K, Stiefelhagen R. Evaluating Multiple Object Tracking Performance: The CLEAR MOT Metrics[J]. EURASIP Journal on Image and Video Processing, 2008, 2008: 246309.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全国安全防范报警系统标准化技术委员会. 安全防范视频监控人脸识别系统技术要求：GB/T 31488—2015[S]. 北京: 中国标准出版社, 2015.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面向校园场景的多目标跟踪算法研究</dc:title>
  <dc:subject>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