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黑体" w:eastAsia="黑体"/>
          <w:sz w:val="36"/>
          <w:szCs w:val="36"/>
        </w:rPr>
      </w:pPr>
      <w:bookmarkStart w:id="0" w:name="_MON_1743667986"/>
      <w:bookmarkEnd w:id="0"/>
      <w:r>
        <w:rPr>
          <w:rFonts w:hint="eastAsia"/>
        </w:rPr>
        <w:t xml:space="preserve"> </w:t>
      </w:r>
      <w:bookmarkStart w:id="1" w:name="_MON_1774891034"/>
      <w:bookmarkEnd w:id="1"/>
      <w:r>
        <w:rPr>
          <w:rFonts w:hint="eastAsia"/>
        </w:rPr>
        <w:object>
          <v:shape id="_x0000_i1025" o:spt="75" type="#_x0000_t75" style="height:621.15pt;width:417.6pt;" o:ole="t" filled="f" o:preferrelative="t" stroked="f" coordsize="21600,21600">
            <v:path/>
            <v:fill on="f" focussize="0,0"/>
            <v:stroke on="f" joinstyle="miter"/>
            <v:imagedata r:id="rId6" o:title=""/>
            <o:lock v:ext="edit" aspectratio="t"/>
            <w10:wrap type="none"/>
            <w10:anchorlock/>
          </v:shape>
          <o:OLEObject Type="Embed" ProgID="Word.Document.8" ShapeID="_x0000_i1025" DrawAspect="Content" ObjectID="_1468075725" r:id="rId5">
            <o:LockedField>false</o:LockedField>
          </o:OLEObject>
        </w:object>
      </w:r>
    </w:p>
    <w:p>
      <w:pPr>
        <w:widowControl w:val="0"/>
        <w:jc w:val="center"/>
        <w:rPr>
          <w:rFonts w:hint="eastAsia" w:eastAsia="宋体"/>
          <w:lang w:val="en-US" w:eastAsia="zh-CN"/>
        </w:rPr>
      </w:pPr>
      <w:r>
        <w:br w:type="page"/>
      </w:r>
      <w:r>
        <w:rPr>
          <w:rFonts w:hint="eastAsia"/>
        </w:rPr>
        <w:object>
          <v:shape id="_x0000_i1026" o:spt="75" type="#_x0000_t75" style="height:675.55pt;width:415.7pt;" o:ole="t" filled="f" o:preferrelative="t" stroked="f" coordsize="21600,21600">
            <v:path/>
            <v:fill on="f" focussize="0,0"/>
            <v:stroke on="f" joinstyle="miter"/>
            <v:imagedata r:id="rId8" embosscolor="#FFFFFF" o:title=""/>
            <o:lock v:ext="edit" aspectratio="t"/>
            <w10:wrap type="none"/>
            <w10:anchorlock/>
          </v:shape>
          <o:OLEObject Type="Embed" ProgID="Word.Document.8" ShapeID="_x0000_i1026" DrawAspect="Content" ObjectID="_1468075726" r:id="rId7">
            <o:LockedField>false</o:LockedField>
          </o:OLEObject>
        </w:object>
      </w:r>
      <w:r>
        <w:rPr>
          <w:rFonts w:hint="eastAsia" w:ascii="黑体" w:hAnsi="黑体" w:eastAsia="黑体" w:cs="黑体"/>
          <w:sz w:val="28"/>
          <w:szCs w:val="28"/>
          <w:lang w:val="en-US" w:eastAsia="zh-CN"/>
        </w:rPr>
        <w:t>目录</w:t>
      </w:r>
    </w:p>
    <w:sdt>
      <w:sdtPr>
        <w:rPr>
          <w:rFonts w:hint="eastAsia" w:ascii="黑体" w:hAnsi="黑体" w:eastAsia="黑体" w:cs="黑体"/>
          <w:sz w:val="28"/>
          <w:szCs w:val="28"/>
          <w:lang w:val="en-US" w:eastAsia="zh-CN"/>
        </w:rPr>
        <w:id w:val="147471067"/>
        <w15:color w:val="DBDBDB"/>
      </w:sdtPr>
      <w:sdtEndPr>
        <w:rPr>
          <w:rFonts w:hint="eastAsia" w:ascii="Times New Roman" w:hAnsi="Times New Roman" w:eastAsia="宋体" w:cs="Times New Roman"/>
          <w:kern w:val="2"/>
          <w:sz w:val="21"/>
          <w:szCs w:val="21"/>
          <w:lang w:val="en-US" w:eastAsia="zh-CN" w:bidi="ar-SA"/>
        </w:rPr>
      </w:sdtEndPr>
      <w:sdtContent>
        <w:p>
          <w:pPr>
            <w:widowControl w:val="0"/>
            <w:jc w:val="both"/>
            <w:rPr>
              <w:rFonts w:hint="eastAsia" w:ascii="黑体" w:hAnsi="黑体" w:eastAsia="黑体" w:cs="黑体"/>
              <w:sz w:val="28"/>
              <w:szCs w:val="28"/>
            </w:rPr>
          </w:pPr>
        </w:p>
        <w:p>
          <w:pPr>
            <w:pStyle w:val="11"/>
            <w:tabs>
              <w:tab w:val="right" w:leader="dot" w:pos="8306"/>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_Toc14499 </w:instrText>
          </w:r>
          <w:r>
            <w:rPr>
              <w:rFonts w:hint="eastAsia"/>
            </w:rPr>
            <w:fldChar w:fldCharType="separate"/>
          </w:r>
          <w:r>
            <w:rPr>
              <w:rFonts w:hint="eastAsia"/>
              <w:bCs w:val="0"/>
              <w:szCs w:val="28"/>
            </w:rPr>
            <w:t>摘要：</w:t>
          </w:r>
          <w:r>
            <w:tab/>
          </w:r>
          <w:r>
            <w:fldChar w:fldCharType="begin"/>
          </w:r>
          <w:r>
            <w:instrText xml:space="preserve"> PAGEREF _Toc14499 \h </w:instrText>
          </w:r>
          <w:r>
            <w:fldChar w:fldCharType="separate"/>
          </w:r>
          <w:r>
            <w:t>1</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_Toc25680 </w:instrText>
          </w:r>
          <w:r>
            <w:rPr>
              <w:rFonts w:hint="eastAsia"/>
            </w:rPr>
            <w:fldChar w:fldCharType="separate"/>
          </w:r>
          <w:r>
            <w:rPr>
              <w:rFonts w:hint="eastAsia"/>
            </w:rPr>
            <w:t>Abstract:</w:t>
          </w:r>
          <w:r>
            <w:tab/>
          </w:r>
          <w:r>
            <w:fldChar w:fldCharType="begin"/>
          </w:r>
          <w:r>
            <w:instrText xml:space="preserve"> PAGEREF _Toc25680 \h </w:instrText>
          </w:r>
          <w:r>
            <w:fldChar w:fldCharType="separate"/>
          </w:r>
          <w:r>
            <w:t>1</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_Toc8710 </w:instrText>
          </w:r>
          <w:r>
            <w:rPr>
              <w:rFonts w:hint="eastAsia"/>
            </w:rPr>
            <w:fldChar w:fldCharType="separate"/>
          </w:r>
          <w:r>
            <w:rPr>
              <w:rFonts w:hint="default"/>
            </w:rPr>
            <w:t xml:space="preserve">1 </w:t>
          </w:r>
          <w:r>
            <w:rPr>
              <w:rFonts w:hint="eastAsia"/>
            </w:rPr>
            <w:t>香紫苏醇的研究进展</w:t>
          </w:r>
          <w:r>
            <w:tab/>
          </w:r>
          <w:r>
            <w:fldChar w:fldCharType="begin"/>
          </w:r>
          <w:r>
            <w:instrText xml:space="preserve"> PAGEREF _Toc8710 \h </w:instrText>
          </w:r>
          <w:r>
            <w:fldChar w:fldCharType="separate"/>
          </w:r>
          <w:r>
            <w:t>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_Toc9824 </w:instrText>
          </w:r>
          <w:r>
            <w:rPr>
              <w:rFonts w:hint="eastAsia"/>
            </w:rPr>
            <w:fldChar w:fldCharType="separate"/>
          </w:r>
          <w:r>
            <w:rPr>
              <w:rFonts w:hint="default"/>
            </w:rPr>
            <w:t xml:space="preserve">1.1 </w:t>
          </w:r>
          <w:r>
            <w:rPr>
              <w:rFonts w:hint="eastAsia"/>
            </w:rPr>
            <w:t>香紫苏醇简介</w:t>
          </w:r>
          <w:r>
            <w:tab/>
          </w:r>
          <w:r>
            <w:fldChar w:fldCharType="begin"/>
          </w:r>
          <w:r>
            <w:instrText xml:space="preserve"> PAGEREF _Toc9824 \h </w:instrText>
          </w:r>
          <w:r>
            <w:fldChar w:fldCharType="separate"/>
          </w:r>
          <w:r>
            <w:t>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_Toc4921 </w:instrText>
          </w:r>
          <w:r>
            <w:rPr>
              <w:rFonts w:hint="eastAsia"/>
            </w:rPr>
            <w:fldChar w:fldCharType="separate"/>
          </w:r>
          <w:r>
            <w:rPr>
              <w:rFonts w:hint="default"/>
            </w:rPr>
            <w:t xml:space="preserve">1.2 </w:t>
          </w:r>
          <w:r>
            <w:rPr>
              <w:rFonts w:hint="eastAsia"/>
            </w:rPr>
            <w:t>香紫苏醇的性质</w:t>
          </w:r>
          <w:r>
            <w:tab/>
          </w:r>
          <w:r>
            <w:fldChar w:fldCharType="begin"/>
          </w:r>
          <w:r>
            <w:instrText xml:space="preserve"> PAGEREF _Toc4921 \h </w:instrText>
          </w:r>
          <w:r>
            <w:fldChar w:fldCharType="separate"/>
          </w:r>
          <w:r>
            <w:t>3</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_Toc23623 </w:instrText>
          </w:r>
          <w:r>
            <w:rPr>
              <w:rFonts w:hint="eastAsia"/>
            </w:rPr>
            <w:fldChar w:fldCharType="separate"/>
          </w:r>
          <w:r>
            <w:rPr>
              <w:rFonts w:hint="default"/>
            </w:rPr>
            <w:t xml:space="preserve">1.2.1 </w:t>
          </w:r>
          <w:r>
            <w:rPr>
              <w:rFonts w:hint="eastAsia"/>
            </w:rPr>
            <w:t>香紫苏醇的理化性质</w:t>
          </w:r>
          <w:r>
            <w:tab/>
          </w:r>
          <w:r>
            <w:fldChar w:fldCharType="begin"/>
          </w:r>
          <w:r>
            <w:instrText xml:space="preserve"> PAGEREF _Toc23623 \h </w:instrText>
          </w:r>
          <w:r>
            <w:fldChar w:fldCharType="separate"/>
          </w:r>
          <w:r>
            <w:t>3</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_Toc4077 </w:instrText>
          </w:r>
          <w:r>
            <w:rPr>
              <w:rFonts w:hint="eastAsia"/>
            </w:rPr>
            <w:fldChar w:fldCharType="separate"/>
          </w:r>
          <w:r>
            <w:rPr>
              <w:rFonts w:hint="default"/>
            </w:rPr>
            <w:t xml:space="preserve">1.2.2 </w:t>
          </w:r>
          <w:r>
            <w:rPr>
              <w:rFonts w:hint="eastAsia"/>
            </w:rPr>
            <w:t>香紫苏醇的</w:t>
          </w:r>
          <w:r>
            <w:rPr>
              <w:rFonts w:hint="eastAsia"/>
              <w:lang w:val="en-US" w:eastAsia="zh-CN"/>
            </w:rPr>
            <w:t>来源</w:t>
          </w:r>
          <w:r>
            <w:tab/>
          </w:r>
          <w:r>
            <w:fldChar w:fldCharType="begin"/>
          </w:r>
          <w:r>
            <w:instrText xml:space="preserve"> PAGEREF _Toc4077 \h </w:instrText>
          </w:r>
          <w:r>
            <w:fldChar w:fldCharType="separate"/>
          </w:r>
          <w:r>
            <w:t>3</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_Toc21620 </w:instrText>
          </w:r>
          <w:r>
            <w:rPr>
              <w:rFonts w:hint="eastAsia"/>
            </w:rPr>
            <w:fldChar w:fldCharType="separate"/>
          </w:r>
          <w:r>
            <w:rPr>
              <w:rFonts w:hint="default"/>
              <w:lang w:val="en-US" w:eastAsia="zh-CN"/>
            </w:rPr>
            <w:t xml:space="preserve">1.2.3 </w:t>
          </w:r>
          <w:r>
            <w:rPr>
              <w:rFonts w:hint="eastAsia"/>
              <w:lang w:val="en-US" w:eastAsia="zh-CN"/>
            </w:rPr>
            <w:t>香紫苏醇的制备</w:t>
          </w:r>
          <w:r>
            <w:tab/>
          </w:r>
          <w:r>
            <w:fldChar w:fldCharType="begin"/>
          </w:r>
          <w:r>
            <w:instrText xml:space="preserve"> PAGEREF _Toc21620 \h </w:instrText>
          </w:r>
          <w:r>
            <w:fldChar w:fldCharType="separate"/>
          </w:r>
          <w:r>
            <w:t>3</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_Toc1187 </w:instrText>
          </w:r>
          <w:r>
            <w:rPr>
              <w:rFonts w:hint="eastAsia"/>
            </w:rPr>
            <w:fldChar w:fldCharType="separate"/>
          </w:r>
          <w:r>
            <w:rPr>
              <w:rFonts w:hint="default"/>
            </w:rPr>
            <w:t xml:space="preserve">1.3 </w:t>
          </w:r>
          <w:r>
            <w:rPr>
              <w:rFonts w:hint="eastAsia"/>
            </w:rPr>
            <w:t>香紫苏醇的药理作用</w:t>
          </w:r>
          <w:r>
            <w:tab/>
          </w:r>
          <w:r>
            <w:fldChar w:fldCharType="begin"/>
          </w:r>
          <w:r>
            <w:instrText xml:space="preserve"> PAGEREF _Toc1187 \h </w:instrText>
          </w:r>
          <w:r>
            <w:fldChar w:fldCharType="separate"/>
          </w:r>
          <w:r>
            <w:t>3</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_Toc26170 </w:instrText>
          </w:r>
          <w:r>
            <w:rPr>
              <w:rFonts w:hint="eastAsia"/>
            </w:rPr>
            <w:fldChar w:fldCharType="separate"/>
          </w:r>
          <w:r>
            <w:rPr>
              <w:rFonts w:hint="default"/>
            </w:rPr>
            <w:t xml:space="preserve">1.3.1 </w:t>
          </w:r>
          <w:r>
            <w:rPr>
              <w:rFonts w:hint="eastAsia"/>
            </w:rPr>
            <w:t>抗炎作用</w:t>
          </w:r>
          <w:r>
            <w:tab/>
          </w:r>
          <w:r>
            <w:fldChar w:fldCharType="begin"/>
          </w:r>
          <w:r>
            <w:instrText xml:space="preserve"> PAGEREF _Toc26170 \h </w:instrText>
          </w:r>
          <w:r>
            <w:fldChar w:fldCharType="separate"/>
          </w:r>
          <w:r>
            <w:t>3</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_Toc26811 </w:instrText>
          </w:r>
          <w:r>
            <w:rPr>
              <w:rFonts w:hint="eastAsia"/>
            </w:rPr>
            <w:fldChar w:fldCharType="separate"/>
          </w:r>
          <w:r>
            <w:rPr>
              <w:rFonts w:hint="default"/>
            </w:rPr>
            <w:t xml:space="preserve">1.3.2 </w:t>
          </w:r>
          <w:r>
            <w:rPr>
              <w:rFonts w:hint="eastAsia"/>
            </w:rPr>
            <w:t>抗菌作用</w:t>
          </w:r>
          <w:r>
            <w:tab/>
          </w:r>
          <w:r>
            <w:fldChar w:fldCharType="begin"/>
          </w:r>
          <w:r>
            <w:instrText xml:space="preserve"> PAGEREF _Toc26811 \h </w:instrText>
          </w:r>
          <w:r>
            <w:fldChar w:fldCharType="separate"/>
          </w:r>
          <w:r>
            <w:t>4</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_Toc12889 </w:instrText>
          </w:r>
          <w:r>
            <w:rPr>
              <w:rFonts w:hint="eastAsia"/>
            </w:rPr>
            <w:fldChar w:fldCharType="separate"/>
          </w:r>
          <w:r>
            <w:rPr>
              <w:rFonts w:hint="default"/>
            </w:rPr>
            <w:t xml:space="preserve">1.3.3 </w:t>
          </w:r>
          <w:r>
            <w:rPr>
              <w:rFonts w:hint="eastAsia"/>
            </w:rPr>
            <w:t>抗癌作用</w:t>
          </w:r>
          <w:r>
            <w:tab/>
          </w:r>
          <w:r>
            <w:fldChar w:fldCharType="begin"/>
          </w:r>
          <w:r>
            <w:instrText xml:space="preserve"> PAGEREF _Toc12889 \h </w:instrText>
          </w:r>
          <w:r>
            <w:fldChar w:fldCharType="separate"/>
          </w:r>
          <w:r>
            <w:t>4</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_Toc19787 </w:instrText>
          </w:r>
          <w:r>
            <w:rPr>
              <w:rFonts w:hint="eastAsia"/>
            </w:rPr>
            <w:fldChar w:fldCharType="separate"/>
          </w:r>
          <w:r>
            <w:rPr>
              <w:rFonts w:hint="default"/>
              <w:lang w:val="en-US" w:eastAsia="zh-CN"/>
            </w:rPr>
            <w:t xml:space="preserve">1.3.4 </w:t>
          </w:r>
          <w:r>
            <w:rPr>
              <w:rFonts w:hint="eastAsia"/>
              <w:lang w:val="en-US" w:eastAsia="zh-CN"/>
            </w:rPr>
            <w:t>抗氧化作用</w:t>
          </w:r>
          <w:r>
            <w:tab/>
          </w:r>
          <w:r>
            <w:fldChar w:fldCharType="begin"/>
          </w:r>
          <w:r>
            <w:instrText xml:space="preserve"> PAGEREF _Toc19787 \h </w:instrText>
          </w:r>
          <w:r>
            <w:fldChar w:fldCharType="separate"/>
          </w:r>
          <w:r>
            <w:t>4</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_Toc4992 </w:instrText>
          </w:r>
          <w:r>
            <w:rPr>
              <w:rFonts w:hint="eastAsia"/>
            </w:rPr>
            <w:fldChar w:fldCharType="separate"/>
          </w:r>
          <w:r>
            <w:rPr>
              <w:rFonts w:hint="default"/>
            </w:rPr>
            <w:t xml:space="preserve">2 </w:t>
          </w:r>
          <w:r>
            <w:rPr>
              <w:rFonts w:hint="eastAsia"/>
            </w:rPr>
            <w:t>肝纤维化的研究进展</w:t>
          </w:r>
          <w:r>
            <w:tab/>
          </w:r>
          <w:r>
            <w:fldChar w:fldCharType="begin"/>
          </w:r>
          <w:r>
            <w:instrText xml:space="preserve"> PAGEREF _Toc4992 \h </w:instrText>
          </w:r>
          <w:r>
            <w:fldChar w:fldCharType="separate"/>
          </w:r>
          <w:r>
            <w:t>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_Toc16501 </w:instrText>
          </w:r>
          <w:r>
            <w:rPr>
              <w:rFonts w:hint="eastAsia"/>
            </w:rPr>
            <w:fldChar w:fldCharType="separate"/>
          </w:r>
          <w:r>
            <w:rPr>
              <w:rFonts w:hint="default"/>
            </w:rPr>
            <w:t xml:space="preserve">2.1 </w:t>
          </w:r>
          <w:r>
            <w:rPr>
              <w:rFonts w:hint="eastAsia"/>
            </w:rPr>
            <w:t>概述</w:t>
          </w:r>
          <w:r>
            <w:tab/>
          </w:r>
          <w:r>
            <w:fldChar w:fldCharType="begin"/>
          </w:r>
          <w:r>
            <w:instrText xml:space="preserve"> PAGEREF _Toc16501 \h </w:instrText>
          </w:r>
          <w:r>
            <w:fldChar w:fldCharType="separate"/>
          </w:r>
          <w:r>
            <w:t>4</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_Toc11467 </w:instrText>
          </w:r>
          <w:r>
            <w:rPr>
              <w:rFonts w:hint="eastAsia"/>
            </w:rPr>
            <w:fldChar w:fldCharType="separate"/>
          </w:r>
          <w:r>
            <w:rPr>
              <w:rFonts w:hint="default"/>
            </w:rPr>
            <w:t xml:space="preserve">2.2 </w:t>
          </w:r>
          <w:r>
            <w:rPr>
              <w:rFonts w:hint="eastAsia"/>
            </w:rPr>
            <w:t>病因</w:t>
          </w:r>
          <w:r>
            <w:tab/>
          </w:r>
          <w:r>
            <w:fldChar w:fldCharType="begin"/>
          </w:r>
          <w:r>
            <w:instrText xml:space="preserve"> PAGEREF _Toc11467 \h </w:instrText>
          </w:r>
          <w:r>
            <w:fldChar w:fldCharType="separate"/>
          </w:r>
          <w:r>
            <w:t>4</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_Toc30810 </w:instrText>
          </w:r>
          <w:r>
            <w:rPr>
              <w:rFonts w:hint="eastAsia"/>
            </w:rPr>
            <w:fldChar w:fldCharType="separate"/>
          </w:r>
          <w:r>
            <w:rPr>
              <w:rFonts w:hint="default"/>
              <w:lang w:val="en-US" w:eastAsia="zh-CN"/>
            </w:rPr>
            <w:t xml:space="preserve">2.2.1 </w:t>
          </w:r>
          <w:r>
            <w:rPr>
              <w:rFonts w:hint="eastAsia"/>
              <w:lang w:val="en-US" w:eastAsia="zh-CN"/>
            </w:rPr>
            <w:t>病毒性肝炎</w:t>
          </w:r>
          <w:r>
            <w:tab/>
          </w:r>
          <w:r>
            <w:fldChar w:fldCharType="begin"/>
          </w:r>
          <w:r>
            <w:instrText xml:space="preserve"> PAGEREF _Toc30810 \h </w:instrText>
          </w:r>
          <w:r>
            <w:fldChar w:fldCharType="separate"/>
          </w:r>
          <w:r>
            <w:t>4</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_Toc25961 </w:instrText>
          </w:r>
          <w:r>
            <w:rPr>
              <w:rFonts w:hint="eastAsia"/>
            </w:rPr>
            <w:fldChar w:fldCharType="separate"/>
          </w:r>
          <w:r>
            <w:rPr>
              <w:rFonts w:hint="default"/>
              <w:lang w:val="en-US" w:eastAsia="zh-CN"/>
            </w:rPr>
            <w:t xml:space="preserve">2.2.2 </w:t>
          </w:r>
          <w:r>
            <w:rPr>
              <w:rFonts w:hint="eastAsia"/>
              <w:lang w:val="en-US" w:eastAsia="zh-CN"/>
            </w:rPr>
            <w:t>酒精性肝病</w:t>
          </w:r>
          <w:r>
            <w:tab/>
          </w:r>
          <w:r>
            <w:fldChar w:fldCharType="begin"/>
          </w:r>
          <w:r>
            <w:instrText xml:space="preserve"> PAGEREF _Toc25961 \h </w:instrText>
          </w:r>
          <w:r>
            <w:fldChar w:fldCharType="separate"/>
          </w:r>
          <w:r>
            <w:t>5</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_Toc27321 </w:instrText>
          </w:r>
          <w:r>
            <w:rPr>
              <w:rFonts w:hint="eastAsia"/>
            </w:rPr>
            <w:fldChar w:fldCharType="separate"/>
          </w:r>
          <w:r>
            <w:rPr>
              <w:rFonts w:hint="default"/>
              <w:lang w:val="en-US" w:eastAsia="zh-CN"/>
            </w:rPr>
            <w:t xml:space="preserve">2.2.3 </w:t>
          </w:r>
          <w:r>
            <w:rPr>
              <w:rFonts w:hint="eastAsia"/>
              <w:lang w:val="en-US" w:eastAsia="zh-CN"/>
            </w:rPr>
            <w:t>非酒精性脂肪性肝病</w:t>
          </w:r>
          <w:r>
            <w:tab/>
          </w:r>
          <w:r>
            <w:fldChar w:fldCharType="begin"/>
          </w:r>
          <w:r>
            <w:instrText xml:space="preserve"> PAGEREF _Toc27321 \h </w:instrText>
          </w:r>
          <w:r>
            <w:fldChar w:fldCharType="separate"/>
          </w:r>
          <w:r>
            <w:t>5</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_Toc575 </w:instrText>
          </w:r>
          <w:r>
            <w:rPr>
              <w:rFonts w:hint="eastAsia"/>
            </w:rPr>
            <w:fldChar w:fldCharType="separate"/>
          </w:r>
          <w:r>
            <w:rPr>
              <w:rFonts w:hint="default"/>
              <w:lang w:val="en-US" w:eastAsia="zh-CN"/>
            </w:rPr>
            <w:t xml:space="preserve">2.2.4 </w:t>
          </w:r>
          <w:r>
            <w:rPr>
              <w:rFonts w:hint="eastAsia"/>
              <w:lang w:val="en-US" w:eastAsia="zh-CN"/>
            </w:rPr>
            <w:t>药物和毒素</w:t>
          </w:r>
          <w:r>
            <w:tab/>
          </w:r>
          <w:r>
            <w:fldChar w:fldCharType="begin"/>
          </w:r>
          <w:r>
            <w:instrText xml:space="preserve"> PAGEREF _Toc575 \h </w:instrText>
          </w:r>
          <w:r>
            <w:fldChar w:fldCharType="separate"/>
          </w:r>
          <w:r>
            <w:t>5</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_Toc24190 </w:instrText>
          </w:r>
          <w:r>
            <w:rPr>
              <w:rFonts w:hint="eastAsia"/>
            </w:rPr>
            <w:fldChar w:fldCharType="separate"/>
          </w:r>
          <w:r>
            <w:rPr>
              <w:rFonts w:hint="default"/>
              <w:lang w:val="en-US" w:eastAsia="zh-CN"/>
            </w:rPr>
            <w:t xml:space="preserve">2.2.5 </w:t>
          </w:r>
          <w:r>
            <w:rPr>
              <w:rFonts w:hint="eastAsia"/>
              <w:lang w:val="en-US" w:eastAsia="zh-CN"/>
            </w:rPr>
            <w:t>胆汁淤积</w:t>
          </w:r>
          <w:r>
            <w:tab/>
          </w:r>
          <w:r>
            <w:fldChar w:fldCharType="begin"/>
          </w:r>
          <w:r>
            <w:instrText xml:space="preserve"> PAGEREF _Toc24190 \h </w:instrText>
          </w:r>
          <w:r>
            <w:fldChar w:fldCharType="separate"/>
          </w:r>
          <w:r>
            <w:t>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_Toc21946 </w:instrText>
          </w:r>
          <w:r>
            <w:rPr>
              <w:rFonts w:hint="eastAsia"/>
            </w:rPr>
            <w:fldChar w:fldCharType="separate"/>
          </w:r>
          <w:r>
            <w:rPr>
              <w:rFonts w:hint="default"/>
            </w:rPr>
            <w:t xml:space="preserve">2.3 </w:t>
          </w:r>
          <w:r>
            <w:rPr>
              <w:rFonts w:hint="eastAsia"/>
            </w:rPr>
            <w:t>诊断</w:t>
          </w:r>
          <w:r>
            <w:tab/>
          </w:r>
          <w:r>
            <w:fldChar w:fldCharType="begin"/>
          </w:r>
          <w:r>
            <w:instrText xml:space="preserve"> PAGEREF _Toc21946 \h </w:instrText>
          </w:r>
          <w:r>
            <w:fldChar w:fldCharType="separate"/>
          </w:r>
          <w:r>
            <w:t>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_Toc11979 </w:instrText>
          </w:r>
          <w:r>
            <w:rPr>
              <w:rFonts w:hint="eastAsia"/>
            </w:rPr>
            <w:fldChar w:fldCharType="separate"/>
          </w:r>
          <w:r>
            <w:rPr>
              <w:rFonts w:hint="default"/>
            </w:rPr>
            <w:t xml:space="preserve">2.4 </w:t>
          </w:r>
          <w:r>
            <w:rPr>
              <w:rFonts w:hint="eastAsia"/>
            </w:rPr>
            <w:t>临床表现</w:t>
          </w:r>
          <w:r>
            <w:tab/>
          </w:r>
          <w:r>
            <w:fldChar w:fldCharType="begin"/>
          </w:r>
          <w:r>
            <w:instrText xml:space="preserve"> PAGEREF _Toc11979 \h </w:instrText>
          </w:r>
          <w:r>
            <w:fldChar w:fldCharType="separate"/>
          </w:r>
          <w:r>
            <w:t>5</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_Toc32569 </w:instrText>
          </w:r>
          <w:r>
            <w:rPr>
              <w:rFonts w:hint="eastAsia"/>
            </w:rPr>
            <w:fldChar w:fldCharType="separate"/>
          </w:r>
          <w:r>
            <w:rPr>
              <w:rFonts w:hint="default"/>
            </w:rPr>
            <w:t xml:space="preserve">2.5 </w:t>
          </w:r>
          <w:r>
            <w:rPr>
              <w:rFonts w:hint="eastAsia"/>
            </w:rPr>
            <w:t>治疗</w:t>
          </w:r>
          <w:r>
            <w:tab/>
          </w:r>
          <w:r>
            <w:fldChar w:fldCharType="begin"/>
          </w:r>
          <w:r>
            <w:instrText xml:space="preserve"> PAGEREF _Toc32569 \h </w:instrText>
          </w:r>
          <w:r>
            <w:fldChar w:fldCharType="separate"/>
          </w:r>
          <w:r>
            <w:t>5</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_Toc29503 </w:instrText>
          </w:r>
          <w:r>
            <w:rPr>
              <w:rFonts w:hint="eastAsia"/>
            </w:rPr>
            <w:fldChar w:fldCharType="separate"/>
          </w:r>
          <w:r>
            <w:rPr>
              <w:rFonts w:hint="default"/>
              <w:lang w:val="en-US" w:eastAsia="zh-CN"/>
            </w:rPr>
            <w:t xml:space="preserve">2.5.1 </w:t>
          </w:r>
          <w:r>
            <w:rPr>
              <w:rFonts w:hint="eastAsia"/>
              <w:lang w:val="en-US" w:eastAsia="zh-CN"/>
            </w:rPr>
            <w:t>中医治疗</w:t>
          </w:r>
          <w:r>
            <w:tab/>
          </w:r>
          <w:r>
            <w:fldChar w:fldCharType="begin"/>
          </w:r>
          <w:r>
            <w:instrText xml:space="preserve"> PAGEREF _Toc29503 \h </w:instrText>
          </w:r>
          <w:r>
            <w:fldChar w:fldCharType="separate"/>
          </w:r>
          <w:r>
            <w:t>5</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_Toc16046 </w:instrText>
          </w:r>
          <w:r>
            <w:rPr>
              <w:rFonts w:hint="eastAsia"/>
            </w:rPr>
            <w:fldChar w:fldCharType="separate"/>
          </w:r>
          <w:r>
            <w:rPr>
              <w:rFonts w:hint="default"/>
              <w:lang w:val="en-US" w:eastAsia="zh-CN"/>
            </w:rPr>
            <w:t xml:space="preserve">2.5.2 </w:t>
          </w:r>
          <w:r>
            <w:rPr>
              <w:rFonts w:hint="eastAsia"/>
              <w:lang w:val="en-US" w:eastAsia="zh-CN"/>
            </w:rPr>
            <w:t>西医治疗</w:t>
          </w:r>
          <w:r>
            <w:tab/>
          </w:r>
          <w:r>
            <w:fldChar w:fldCharType="begin"/>
          </w:r>
          <w:r>
            <w:instrText xml:space="preserve"> PAGEREF _Toc16046 \h </w:instrText>
          </w:r>
          <w:r>
            <w:fldChar w:fldCharType="separate"/>
          </w:r>
          <w:r>
            <w:t>5</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_Toc8075 </w:instrText>
          </w:r>
          <w:r>
            <w:rPr>
              <w:rFonts w:hint="eastAsia"/>
            </w:rPr>
            <w:fldChar w:fldCharType="separate"/>
          </w:r>
          <w:r>
            <w:rPr>
              <w:rFonts w:hint="default"/>
              <w:lang w:val="en-US" w:eastAsia="zh-CN"/>
            </w:rPr>
            <w:t xml:space="preserve">2.5.3 </w:t>
          </w:r>
          <w:r>
            <w:rPr>
              <w:rFonts w:hint="eastAsia"/>
              <w:lang w:val="en-US" w:eastAsia="zh-CN"/>
            </w:rPr>
            <w:t>中西医联合治疗</w:t>
          </w:r>
          <w:r>
            <w:tab/>
          </w:r>
          <w:r>
            <w:fldChar w:fldCharType="begin"/>
          </w:r>
          <w:r>
            <w:instrText xml:space="preserve"> PAGEREF _Toc8075 \h </w:instrText>
          </w:r>
          <w:r>
            <w:fldChar w:fldCharType="separate"/>
          </w:r>
          <w:r>
            <w:t>6</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_Toc18028 </w:instrText>
          </w:r>
          <w:r>
            <w:rPr>
              <w:rFonts w:hint="eastAsia"/>
            </w:rPr>
            <w:fldChar w:fldCharType="separate"/>
          </w:r>
          <w:r>
            <w:rPr>
              <w:rFonts w:hint="default"/>
            </w:rPr>
            <w:t xml:space="preserve">3 </w:t>
          </w:r>
          <w:r>
            <w:t>TGF-β1</w:t>
          </w:r>
          <w:r>
            <w:rPr>
              <w:rFonts w:hint="eastAsia"/>
              <w:lang w:eastAsia="zh-CN"/>
            </w:rPr>
            <w:t>在</w:t>
          </w:r>
          <w:r>
            <w:rPr>
              <w:rFonts w:eastAsia="宋体"/>
            </w:rPr>
            <w:t>LX-2</w:t>
          </w:r>
          <w:r>
            <w:rPr>
              <w:rFonts w:hint="eastAsia" w:ascii="黑体" w:hAnsi="黑体" w:cs="黑体"/>
            </w:rPr>
            <w:t>细胞活化</w:t>
          </w:r>
          <w:r>
            <w:rPr>
              <w:rFonts w:hint="eastAsia" w:ascii="黑体" w:hAnsi="黑体" w:cs="黑体"/>
              <w:lang w:eastAsia="zh-CN"/>
            </w:rPr>
            <w:t>中的调控作用</w:t>
          </w:r>
          <w:r>
            <w:tab/>
          </w:r>
          <w:r>
            <w:fldChar w:fldCharType="begin"/>
          </w:r>
          <w:r>
            <w:instrText xml:space="preserve"> PAGEREF _Toc18028 \h </w:instrText>
          </w:r>
          <w:r>
            <w:fldChar w:fldCharType="separate"/>
          </w:r>
          <w:r>
            <w:t>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_Toc31889 </w:instrText>
          </w:r>
          <w:r>
            <w:rPr>
              <w:rFonts w:hint="eastAsia"/>
            </w:rPr>
            <w:fldChar w:fldCharType="separate"/>
          </w:r>
          <w:r>
            <w:rPr>
              <w:rFonts w:hint="default"/>
            </w:rPr>
            <w:t xml:space="preserve">3.1 </w:t>
          </w:r>
          <w:r>
            <w:rPr>
              <w:rFonts w:hint="default" w:ascii="Times New Roman" w:hAnsi="Times New Roman" w:cs="Times New Roman"/>
            </w:rPr>
            <w:t>TGF-β1</w:t>
          </w:r>
          <w:r>
            <w:rPr>
              <w:rFonts w:hint="eastAsia"/>
            </w:rPr>
            <w:t>简介</w:t>
          </w:r>
          <w:r>
            <w:tab/>
          </w:r>
          <w:r>
            <w:fldChar w:fldCharType="begin"/>
          </w:r>
          <w:r>
            <w:instrText xml:space="preserve"> PAGEREF _Toc31889 \h </w:instrText>
          </w:r>
          <w:r>
            <w:fldChar w:fldCharType="separate"/>
          </w:r>
          <w:r>
            <w:t>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_Toc1082 </w:instrText>
          </w:r>
          <w:r>
            <w:rPr>
              <w:rFonts w:hint="eastAsia"/>
            </w:rPr>
            <w:fldChar w:fldCharType="separate"/>
          </w:r>
          <w:r>
            <w:rPr>
              <w:rFonts w:hint="default"/>
            </w:rPr>
            <w:t xml:space="preserve">3.2 </w:t>
          </w:r>
          <w:r>
            <w:rPr>
              <w:rFonts w:hint="eastAsia"/>
            </w:rPr>
            <w:t>肝星状细胞</w:t>
          </w:r>
          <w:r>
            <w:tab/>
          </w:r>
          <w:r>
            <w:fldChar w:fldCharType="begin"/>
          </w:r>
          <w:r>
            <w:instrText xml:space="preserve"> PAGEREF _Toc1082 \h </w:instrText>
          </w:r>
          <w:r>
            <w:fldChar w:fldCharType="separate"/>
          </w:r>
          <w:r>
            <w:t>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_Toc12196 </w:instrText>
          </w:r>
          <w:r>
            <w:rPr>
              <w:rFonts w:hint="eastAsia"/>
            </w:rPr>
            <w:fldChar w:fldCharType="separate"/>
          </w:r>
          <w:r>
            <w:rPr>
              <w:rFonts w:hint="default"/>
            </w:rPr>
            <w:t xml:space="preserve">3.3 </w:t>
          </w:r>
          <w:r>
            <w:rPr>
              <w:rFonts w:hint="eastAsia"/>
            </w:rPr>
            <w:t>肝星状细胞与肝纤维化的关系</w:t>
          </w:r>
          <w:r>
            <w:tab/>
          </w:r>
          <w:r>
            <w:fldChar w:fldCharType="begin"/>
          </w:r>
          <w:r>
            <w:instrText xml:space="preserve"> PAGEREF _Toc12196 \h </w:instrText>
          </w:r>
          <w:r>
            <w:fldChar w:fldCharType="separate"/>
          </w:r>
          <w:r>
            <w:t>6</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_Toc25634 </w:instrText>
          </w:r>
          <w:r>
            <w:rPr>
              <w:rFonts w:hint="eastAsia"/>
            </w:rPr>
            <w:fldChar w:fldCharType="separate"/>
          </w:r>
          <w:r>
            <w:rPr>
              <w:rFonts w:hint="default"/>
            </w:rPr>
            <w:t xml:space="preserve">3.4 </w:t>
          </w:r>
          <w:r>
            <w:rPr>
              <w:rFonts w:hint="eastAsia"/>
            </w:rPr>
            <w:t>肝纤维化中</w:t>
          </w:r>
          <w:r>
            <w:rPr>
              <w:rFonts w:hint="default" w:ascii="Times New Roman" w:hAnsi="Times New Roman" w:eastAsia="黑体" w:cs="Times New Roman"/>
            </w:rPr>
            <w:t>TGF-β1/Smad</w:t>
          </w:r>
          <w:r>
            <w:rPr>
              <w:rFonts w:hint="eastAsia"/>
            </w:rPr>
            <w:t xml:space="preserve"> 通路</w:t>
          </w:r>
          <w:r>
            <w:tab/>
          </w:r>
          <w:r>
            <w:fldChar w:fldCharType="begin"/>
          </w:r>
          <w:r>
            <w:instrText xml:space="preserve"> PAGEREF _Toc25634 \h </w:instrText>
          </w:r>
          <w:r>
            <w:fldChar w:fldCharType="separate"/>
          </w:r>
          <w:r>
            <w:t>6</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_Toc26789 </w:instrText>
          </w:r>
          <w:r>
            <w:rPr>
              <w:rFonts w:hint="eastAsia"/>
            </w:rPr>
            <w:fldChar w:fldCharType="separate"/>
          </w:r>
          <w:r>
            <w:rPr>
              <w:rFonts w:hint="default"/>
            </w:rPr>
            <w:t xml:space="preserve">4 </w:t>
          </w:r>
          <w:r>
            <w:rPr>
              <w:rFonts w:hint="eastAsia"/>
            </w:rPr>
            <w:t>实验内容</w:t>
          </w:r>
          <w:r>
            <w:tab/>
          </w:r>
          <w:r>
            <w:fldChar w:fldCharType="begin"/>
          </w:r>
          <w:r>
            <w:instrText xml:space="preserve"> PAGEREF _Toc26789 \h </w:instrText>
          </w:r>
          <w:r>
            <w:fldChar w:fldCharType="separate"/>
          </w:r>
          <w:r>
            <w:t>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_Toc25237 </w:instrText>
          </w:r>
          <w:r>
            <w:rPr>
              <w:rFonts w:hint="eastAsia"/>
            </w:rPr>
            <w:fldChar w:fldCharType="separate"/>
          </w:r>
          <w:r>
            <w:rPr>
              <w:rFonts w:hint="default"/>
            </w:rPr>
            <w:t xml:space="preserve">4.1 </w:t>
          </w:r>
          <w:r>
            <w:rPr>
              <w:rFonts w:hint="eastAsia"/>
            </w:rPr>
            <w:t>实验材料</w:t>
          </w:r>
          <w:r>
            <w:tab/>
          </w:r>
          <w:r>
            <w:fldChar w:fldCharType="begin"/>
          </w:r>
          <w:r>
            <w:instrText xml:space="preserve"> PAGEREF _Toc25237 \h </w:instrText>
          </w:r>
          <w:r>
            <w:fldChar w:fldCharType="separate"/>
          </w:r>
          <w:r>
            <w:t>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_Toc22023 </w:instrText>
          </w:r>
          <w:r>
            <w:rPr>
              <w:rFonts w:hint="eastAsia"/>
            </w:rPr>
            <w:fldChar w:fldCharType="separate"/>
          </w:r>
          <w:r>
            <w:rPr>
              <w:rFonts w:hint="default"/>
            </w:rPr>
            <w:t xml:space="preserve">4.2 </w:t>
          </w:r>
          <w:r>
            <w:rPr>
              <w:rFonts w:hint="eastAsia"/>
            </w:rPr>
            <w:t>实验试剂</w:t>
          </w:r>
          <w:r>
            <w:tab/>
          </w:r>
          <w:r>
            <w:fldChar w:fldCharType="begin"/>
          </w:r>
          <w:r>
            <w:instrText xml:space="preserve"> PAGEREF _Toc22023 \h </w:instrText>
          </w:r>
          <w:r>
            <w:fldChar w:fldCharType="separate"/>
          </w:r>
          <w:r>
            <w:t>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_Toc12510 </w:instrText>
          </w:r>
          <w:r>
            <w:rPr>
              <w:rFonts w:hint="eastAsia"/>
            </w:rPr>
            <w:fldChar w:fldCharType="separate"/>
          </w:r>
          <w:r>
            <w:rPr>
              <w:rFonts w:hint="default"/>
            </w:rPr>
            <w:t xml:space="preserve">4.3 </w:t>
          </w:r>
          <w:r>
            <w:rPr>
              <w:rFonts w:hint="eastAsia"/>
            </w:rPr>
            <w:t>实验仪器</w:t>
          </w:r>
          <w:r>
            <w:tab/>
          </w:r>
          <w:r>
            <w:fldChar w:fldCharType="begin"/>
          </w:r>
          <w:r>
            <w:instrText xml:space="preserve"> PAGEREF _Toc12510 \h </w:instrText>
          </w:r>
          <w:r>
            <w:fldChar w:fldCharType="separate"/>
          </w:r>
          <w:r>
            <w:t>7</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_Toc13829 </w:instrText>
          </w:r>
          <w:r>
            <w:rPr>
              <w:rFonts w:hint="eastAsia"/>
            </w:rPr>
            <w:fldChar w:fldCharType="separate"/>
          </w:r>
          <w:r>
            <w:rPr>
              <w:rFonts w:hint="default"/>
            </w:rPr>
            <w:t xml:space="preserve">5 </w:t>
          </w:r>
          <w:r>
            <w:rPr>
              <w:rFonts w:hint="eastAsia"/>
            </w:rPr>
            <w:t>实验方法</w:t>
          </w:r>
          <w:r>
            <w:tab/>
          </w:r>
          <w:r>
            <w:fldChar w:fldCharType="begin"/>
          </w:r>
          <w:r>
            <w:instrText xml:space="preserve"> PAGEREF _Toc13829 \h </w:instrText>
          </w:r>
          <w:r>
            <w:fldChar w:fldCharType="separate"/>
          </w:r>
          <w:r>
            <w:t>7</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_Toc1528 </w:instrText>
          </w:r>
          <w:r>
            <w:rPr>
              <w:rFonts w:hint="eastAsia"/>
            </w:rPr>
            <w:fldChar w:fldCharType="separate"/>
          </w:r>
          <w:r>
            <w:rPr>
              <w:rFonts w:hint="default"/>
            </w:rPr>
            <w:t xml:space="preserve">5.1 </w:t>
          </w:r>
          <w:r>
            <w:rPr>
              <w:rFonts w:hint="eastAsia"/>
            </w:rPr>
            <w:t>细胞培养</w:t>
          </w:r>
          <w:r>
            <w:tab/>
          </w:r>
          <w:r>
            <w:fldChar w:fldCharType="begin"/>
          </w:r>
          <w:r>
            <w:instrText xml:space="preserve"> PAGEREF _Toc1528 \h </w:instrText>
          </w:r>
          <w:r>
            <w:fldChar w:fldCharType="separate"/>
          </w:r>
          <w:r>
            <w:t>7</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_Toc22168 </w:instrText>
          </w:r>
          <w:r>
            <w:rPr>
              <w:rFonts w:hint="eastAsia"/>
            </w:rPr>
            <w:fldChar w:fldCharType="separate"/>
          </w:r>
          <w:r>
            <w:rPr>
              <w:rFonts w:hint="default"/>
            </w:rPr>
            <w:t xml:space="preserve">5.1.1 </w:t>
          </w:r>
          <w:r>
            <w:rPr>
              <w:rFonts w:hint="eastAsia"/>
            </w:rPr>
            <w:t>细胞冻存</w:t>
          </w:r>
          <w:r>
            <w:tab/>
          </w:r>
          <w:r>
            <w:fldChar w:fldCharType="begin"/>
          </w:r>
          <w:r>
            <w:instrText xml:space="preserve"> PAGEREF _Toc22168 \h </w:instrText>
          </w:r>
          <w:r>
            <w:fldChar w:fldCharType="separate"/>
          </w:r>
          <w:r>
            <w:t>7</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_Toc18240 </w:instrText>
          </w:r>
          <w:r>
            <w:rPr>
              <w:rFonts w:hint="eastAsia"/>
            </w:rPr>
            <w:fldChar w:fldCharType="separate"/>
          </w:r>
          <w:r>
            <w:rPr>
              <w:rFonts w:hint="default"/>
            </w:rPr>
            <w:t xml:space="preserve">5.1.2 </w:t>
          </w:r>
          <w:r>
            <w:rPr>
              <w:rFonts w:hint="eastAsia"/>
            </w:rPr>
            <w:t>细胞复苏</w:t>
          </w:r>
          <w:r>
            <w:tab/>
          </w:r>
          <w:r>
            <w:fldChar w:fldCharType="begin"/>
          </w:r>
          <w:r>
            <w:instrText xml:space="preserve"> PAGEREF _Toc18240 \h </w:instrText>
          </w:r>
          <w:r>
            <w:fldChar w:fldCharType="separate"/>
          </w:r>
          <w:r>
            <w:t>8</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_Toc8672 </w:instrText>
          </w:r>
          <w:r>
            <w:rPr>
              <w:rFonts w:hint="eastAsia"/>
            </w:rPr>
            <w:fldChar w:fldCharType="separate"/>
          </w:r>
          <w:r>
            <w:rPr>
              <w:rFonts w:hint="default"/>
            </w:rPr>
            <w:t xml:space="preserve">5.1.3 </w:t>
          </w:r>
          <w:r>
            <w:rPr>
              <w:rFonts w:hint="eastAsia"/>
            </w:rPr>
            <w:t>细胞传代</w:t>
          </w:r>
          <w:r>
            <w:tab/>
          </w:r>
          <w:r>
            <w:fldChar w:fldCharType="begin"/>
          </w:r>
          <w:r>
            <w:instrText xml:space="preserve"> PAGEREF _Toc8672 \h </w:instrText>
          </w:r>
          <w:r>
            <w:fldChar w:fldCharType="separate"/>
          </w:r>
          <w:r>
            <w:t>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_Toc20387 </w:instrText>
          </w:r>
          <w:r>
            <w:rPr>
              <w:rFonts w:hint="eastAsia"/>
            </w:rPr>
            <w:fldChar w:fldCharType="separate"/>
          </w:r>
          <w:r>
            <w:rPr>
              <w:rFonts w:hint="default"/>
            </w:rPr>
            <w:t xml:space="preserve">5.2 </w:t>
          </w:r>
          <w:r>
            <w:rPr>
              <w:rFonts w:hint="eastAsia"/>
            </w:rPr>
            <w:t>免疫印迹</w:t>
          </w:r>
          <w:r>
            <w:tab/>
          </w:r>
          <w:r>
            <w:fldChar w:fldCharType="begin"/>
          </w:r>
          <w:r>
            <w:instrText xml:space="preserve"> PAGEREF _Toc20387 \h </w:instrText>
          </w:r>
          <w:r>
            <w:fldChar w:fldCharType="separate"/>
          </w:r>
          <w:r>
            <w:t>8</w:t>
          </w:r>
          <w:r>
            <w:fldChar w:fldCharType="end"/>
          </w:r>
          <w:r>
            <w:rPr>
              <w:rFonts w:hint="eastAsia"/>
            </w:rPr>
            <w:fldChar w:fldCharType="end"/>
          </w:r>
        </w:p>
        <w:p>
          <w:pPr>
            <w:pStyle w:val="6"/>
            <w:tabs>
              <w:tab w:val="right" w:leader="dot" w:pos="8306"/>
            </w:tabs>
          </w:pPr>
          <w:r>
            <w:rPr>
              <w:rFonts w:hint="eastAsia"/>
            </w:rPr>
            <w:fldChar w:fldCharType="begin"/>
          </w:r>
          <w:r>
            <w:rPr>
              <w:rFonts w:hint="eastAsia"/>
            </w:rPr>
            <w:instrText xml:space="preserve"> HYPERLINK \l _Toc806 </w:instrText>
          </w:r>
          <w:r>
            <w:rPr>
              <w:rFonts w:hint="eastAsia"/>
            </w:rPr>
            <w:fldChar w:fldCharType="separate"/>
          </w:r>
          <w:r>
            <w:rPr>
              <w:rFonts w:hint="default"/>
            </w:rPr>
            <w:t xml:space="preserve">5.2.1 </w:t>
          </w:r>
          <w:r>
            <w:rPr>
              <w:rFonts w:hint="eastAsia"/>
            </w:rPr>
            <w:t>Western-Blot（WB）实验</w:t>
          </w:r>
          <w:r>
            <w:tab/>
          </w:r>
          <w:r>
            <w:fldChar w:fldCharType="begin"/>
          </w:r>
          <w:r>
            <w:instrText xml:space="preserve"> PAGEREF _Toc806 \h </w:instrText>
          </w:r>
          <w:r>
            <w:fldChar w:fldCharType="separate"/>
          </w:r>
          <w:r>
            <w:t>8</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_Toc4394 </w:instrText>
          </w:r>
          <w:r>
            <w:rPr>
              <w:rFonts w:hint="eastAsia"/>
            </w:rPr>
            <w:fldChar w:fldCharType="separate"/>
          </w:r>
          <w:r>
            <w:rPr>
              <w:rFonts w:hint="default"/>
            </w:rPr>
            <w:t xml:space="preserve">5.3 </w:t>
          </w:r>
          <w:r>
            <w:rPr>
              <w:rFonts w:hint="eastAsia"/>
            </w:rPr>
            <w:t>细胞增殖实验（</w:t>
          </w:r>
          <w:r>
            <w:rPr>
              <w:rFonts w:ascii="Times New Roman" w:hAnsi="Times New Roman" w:cs="Times New Roman"/>
            </w:rPr>
            <w:t>EdU</w:t>
          </w:r>
          <w:r>
            <w:rPr>
              <w:rFonts w:hint="eastAsia"/>
            </w:rPr>
            <w:t>）</w:t>
          </w:r>
          <w:r>
            <w:tab/>
          </w:r>
          <w:r>
            <w:fldChar w:fldCharType="begin"/>
          </w:r>
          <w:r>
            <w:instrText xml:space="preserve"> PAGEREF _Toc4394 \h </w:instrText>
          </w:r>
          <w:r>
            <w:fldChar w:fldCharType="separate"/>
          </w:r>
          <w:r>
            <w:t>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_Toc4258 </w:instrText>
          </w:r>
          <w:r>
            <w:rPr>
              <w:rFonts w:hint="eastAsia"/>
            </w:rPr>
            <w:fldChar w:fldCharType="separate"/>
          </w:r>
          <w:r>
            <w:rPr>
              <w:rFonts w:hint="default"/>
            </w:rPr>
            <w:t xml:space="preserve">5.4 </w:t>
          </w:r>
          <w:r>
            <w:rPr>
              <w:rFonts w:hint="eastAsia"/>
            </w:rPr>
            <w:t>细胞迁移实验（</w:t>
          </w:r>
          <w:r>
            <w:rPr>
              <w:rFonts w:ascii="Times New Roman" w:hAnsi="Times New Roman" w:cs="Times New Roman"/>
            </w:rPr>
            <w:t>Transwell</w:t>
          </w:r>
          <w:r>
            <w:rPr>
              <w:rFonts w:hint="eastAsia"/>
            </w:rPr>
            <w:t>）</w:t>
          </w:r>
          <w:r>
            <w:tab/>
          </w:r>
          <w:r>
            <w:fldChar w:fldCharType="begin"/>
          </w:r>
          <w:r>
            <w:instrText xml:space="preserve"> PAGEREF _Toc4258 \h </w:instrText>
          </w:r>
          <w:r>
            <w:fldChar w:fldCharType="separate"/>
          </w:r>
          <w:r>
            <w:t>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_Toc27680 </w:instrText>
          </w:r>
          <w:r>
            <w:rPr>
              <w:rFonts w:hint="eastAsia"/>
            </w:rPr>
            <w:fldChar w:fldCharType="separate"/>
          </w:r>
          <w:r>
            <w:rPr>
              <w:rFonts w:hint="default"/>
              <w:lang w:eastAsia="zh-CN"/>
            </w:rPr>
            <w:t xml:space="preserve">5.5 </w:t>
          </w:r>
          <w:r>
            <w:rPr>
              <w:rFonts w:hint="eastAsia"/>
              <w:lang w:eastAsia="zh-CN"/>
            </w:rPr>
            <w:t>免疫荧光实验</w:t>
          </w:r>
          <w:r>
            <w:tab/>
          </w:r>
          <w:r>
            <w:fldChar w:fldCharType="begin"/>
          </w:r>
          <w:r>
            <w:instrText xml:space="preserve"> PAGEREF _Toc27680 \h </w:instrText>
          </w:r>
          <w:r>
            <w:fldChar w:fldCharType="separate"/>
          </w:r>
          <w:r>
            <w:t>9</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_Toc2209 </w:instrText>
          </w:r>
          <w:r>
            <w:rPr>
              <w:rFonts w:hint="eastAsia"/>
            </w:rPr>
            <w:fldChar w:fldCharType="separate"/>
          </w:r>
          <w:r>
            <w:rPr>
              <w:rFonts w:hint="default"/>
            </w:rPr>
            <w:t xml:space="preserve">5.6 </w:t>
          </w:r>
          <w:r>
            <w:rPr>
              <w:rFonts w:hint="eastAsia"/>
            </w:rPr>
            <w:t>统计学方法</w:t>
          </w:r>
          <w:r>
            <w:tab/>
          </w:r>
          <w:r>
            <w:fldChar w:fldCharType="begin"/>
          </w:r>
          <w:r>
            <w:instrText xml:space="preserve"> PAGEREF _Toc2209 \h </w:instrText>
          </w:r>
          <w:r>
            <w:fldChar w:fldCharType="separate"/>
          </w:r>
          <w:r>
            <w:t>9</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_Toc12321 </w:instrText>
          </w:r>
          <w:r>
            <w:rPr>
              <w:rFonts w:hint="eastAsia"/>
            </w:rPr>
            <w:fldChar w:fldCharType="separate"/>
          </w:r>
          <w:r>
            <w:rPr>
              <w:rFonts w:hint="default"/>
            </w:rPr>
            <w:t xml:space="preserve">6 </w:t>
          </w:r>
          <w:r>
            <w:rPr>
              <w:rFonts w:hint="eastAsia"/>
            </w:rPr>
            <w:t>实验结果与分析</w:t>
          </w:r>
          <w:r>
            <w:tab/>
          </w:r>
          <w:r>
            <w:fldChar w:fldCharType="begin"/>
          </w:r>
          <w:r>
            <w:instrText xml:space="preserve"> PAGEREF _Toc12321 \h </w:instrText>
          </w:r>
          <w:r>
            <w:fldChar w:fldCharType="separate"/>
          </w:r>
          <w:r>
            <w:t>10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_Toc25800 </w:instrText>
          </w:r>
          <w:r>
            <w:rPr>
              <w:rFonts w:hint="eastAsia"/>
            </w:rPr>
            <w:fldChar w:fldCharType="separate"/>
          </w:r>
          <w:r>
            <w:rPr>
              <w:rFonts w:hint="default"/>
            </w:rPr>
            <w:t xml:space="preserve">6.1 </w:t>
          </w:r>
          <w:r>
            <w:rPr>
              <w:rFonts w:hint="default" w:ascii="Times New Roman" w:hAnsi="Times New Roman" w:cs="Times New Roman"/>
            </w:rPr>
            <w:t>SCL</w:t>
          </w:r>
          <w:r>
            <w:rPr>
              <w:rFonts w:hint="eastAsia"/>
            </w:rPr>
            <w:t>对</w:t>
          </w:r>
          <w:r>
            <w:rPr>
              <w:rFonts w:hint="default" w:ascii="Times New Roman" w:hAnsi="Times New Roman" w:cs="Times New Roman"/>
            </w:rPr>
            <w:t>LX-2</w:t>
          </w:r>
          <w:r>
            <w:rPr>
              <w:rFonts w:hint="eastAsia"/>
            </w:rPr>
            <w:t>细胞迁移能力的影响</w:t>
          </w:r>
          <w:r>
            <w:tab/>
          </w:r>
          <w:r>
            <w:fldChar w:fldCharType="begin"/>
          </w:r>
          <w:r>
            <w:instrText xml:space="preserve"> PAGEREF _Toc25800 \h </w:instrText>
          </w:r>
          <w:r>
            <w:fldChar w:fldCharType="separate"/>
          </w:r>
          <w:r>
            <w:t>10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_Toc7883 </w:instrText>
          </w:r>
          <w:r>
            <w:rPr>
              <w:rFonts w:hint="eastAsia"/>
            </w:rPr>
            <w:fldChar w:fldCharType="separate"/>
          </w:r>
          <w:r>
            <w:rPr>
              <w:rFonts w:hint="default"/>
            </w:rPr>
            <w:t xml:space="preserve">6.2 </w:t>
          </w:r>
          <w:r>
            <w:rPr>
              <w:rFonts w:hint="eastAsia" w:ascii="Times New Roman" w:hAnsi="Times New Roman" w:cs="Times New Roman"/>
            </w:rPr>
            <w:t>SCL</w:t>
          </w:r>
          <w:r>
            <w:rPr>
              <w:rFonts w:hint="eastAsia"/>
            </w:rPr>
            <w:t>对</w:t>
          </w:r>
          <w:r>
            <w:rPr>
              <w:rFonts w:hint="eastAsia" w:ascii="Times New Roman" w:hAnsi="Times New Roman" w:cs="Times New Roman"/>
            </w:rPr>
            <w:t>LX-2</w:t>
          </w:r>
          <w:r>
            <w:rPr>
              <w:rFonts w:hint="eastAsia"/>
            </w:rPr>
            <w:t>细胞增殖能力的影响</w:t>
          </w:r>
          <w:r>
            <w:tab/>
          </w:r>
          <w:r>
            <w:fldChar w:fldCharType="begin"/>
          </w:r>
          <w:r>
            <w:instrText xml:space="preserve"> PAGEREF _Toc7883 \h </w:instrText>
          </w:r>
          <w:r>
            <w:fldChar w:fldCharType="separate"/>
          </w:r>
          <w:r>
            <w:t>10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_Toc7303 </w:instrText>
          </w:r>
          <w:r>
            <w:rPr>
              <w:rFonts w:hint="eastAsia"/>
            </w:rPr>
            <w:fldChar w:fldCharType="separate"/>
          </w:r>
          <w:r>
            <w:rPr>
              <w:rFonts w:hint="default"/>
            </w:rPr>
            <w:t xml:space="preserve">6.3 </w:t>
          </w:r>
          <w:r>
            <w:rPr>
              <w:rFonts w:hint="eastAsia" w:ascii="Times New Roman" w:hAnsi="Times New Roman" w:cs="Times New Roman"/>
            </w:rPr>
            <w:t>SCL</w:t>
          </w:r>
          <w:r>
            <w:rPr>
              <w:rFonts w:hint="eastAsia"/>
            </w:rPr>
            <w:t>对</w:t>
          </w:r>
          <w:r>
            <w:rPr>
              <w:rFonts w:hint="default" w:ascii="Times New Roman" w:hAnsi="Times New Roman" w:cs="Times New Roman"/>
            </w:rPr>
            <w:t>TGF-β1</w:t>
          </w:r>
          <w:r>
            <w:rPr>
              <w:rFonts w:hint="eastAsia"/>
            </w:rPr>
            <w:t>诱导的</w:t>
          </w:r>
          <w:r>
            <w:rPr>
              <w:rFonts w:hint="eastAsia" w:ascii="Times New Roman" w:hAnsi="Times New Roman" w:cs="Times New Roman"/>
            </w:rPr>
            <w:t>LX-2</w:t>
          </w:r>
          <w:r>
            <w:rPr>
              <w:rFonts w:hint="eastAsia"/>
            </w:rPr>
            <w:t>细胞活化的影响</w:t>
          </w:r>
          <w:r>
            <w:tab/>
          </w:r>
          <w:r>
            <w:fldChar w:fldCharType="begin"/>
          </w:r>
          <w:r>
            <w:instrText xml:space="preserve"> PAGEREF _Toc7303 \h </w:instrText>
          </w:r>
          <w:r>
            <w:fldChar w:fldCharType="separate"/>
          </w:r>
          <w:r>
            <w:t>10</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_Toc17654 </w:instrText>
          </w:r>
          <w:r>
            <w:rPr>
              <w:rFonts w:hint="eastAsia"/>
            </w:rPr>
            <w:fldChar w:fldCharType="separate"/>
          </w:r>
          <w:r>
            <w:rPr>
              <w:rFonts w:hint="default"/>
            </w:rPr>
            <w:t xml:space="preserve">6.4 </w:t>
          </w:r>
          <w:r>
            <w:rPr>
              <w:rFonts w:ascii="Times New Roman" w:hAnsi="Times New Roman" w:cs="Times New Roman"/>
            </w:rPr>
            <w:t>SCL</w:t>
          </w:r>
          <w:r>
            <w:rPr>
              <w:rFonts w:hint="eastAsia"/>
            </w:rPr>
            <w:t>对</w:t>
          </w:r>
          <w:r>
            <w:rPr>
              <w:rFonts w:ascii="Times New Roman" w:hAnsi="Times New Roman" w:cs="Times New Roman"/>
            </w:rPr>
            <w:t>LX-2</w:t>
          </w:r>
          <w:r>
            <w:rPr>
              <w:rFonts w:hint="eastAsia"/>
            </w:rPr>
            <w:t>细胞中的</w:t>
          </w:r>
          <w:r>
            <w:rPr>
              <w:rFonts w:ascii="Times New Roman" w:hAnsi="Times New Roman" w:cs="Times New Roman"/>
            </w:rPr>
            <w:t>Smad</w:t>
          </w:r>
          <w:r>
            <w:rPr>
              <w:rFonts w:hint="eastAsia"/>
            </w:rPr>
            <w:t>通路的影响</w:t>
          </w:r>
          <w:r>
            <w:tab/>
          </w:r>
          <w:r>
            <w:fldChar w:fldCharType="begin"/>
          </w:r>
          <w:r>
            <w:instrText xml:space="preserve"> PAGEREF _Toc17654 \h </w:instrText>
          </w:r>
          <w:r>
            <w:fldChar w:fldCharType="separate"/>
          </w:r>
          <w:r>
            <w:t>11</w:t>
          </w:r>
          <w:r>
            <w:fldChar w:fldCharType="end"/>
          </w:r>
          <w:r>
            <w:rPr>
              <w:rFonts w:hint="eastAsia"/>
            </w:rPr>
            <w:fldChar w:fldCharType="end"/>
          </w:r>
        </w:p>
        <w:p>
          <w:pPr>
            <w:pStyle w:val="13"/>
            <w:tabs>
              <w:tab w:val="right" w:leader="dot" w:pos="8306"/>
            </w:tabs>
          </w:pPr>
          <w:r>
            <w:rPr>
              <w:rFonts w:hint="eastAsia"/>
            </w:rPr>
            <w:fldChar w:fldCharType="begin"/>
          </w:r>
          <w:r>
            <w:rPr>
              <w:rFonts w:hint="eastAsia"/>
            </w:rPr>
            <w:instrText xml:space="preserve"> HYPERLINK \l _Toc14323 </w:instrText>
          </w:r>
          <w:r>
            <w:rPr>
              <w:rFonts w:hint="eastAsia"/>
            </w:rPr>
            <w:fldChar w:fldCharType="separate"/>
          </w:r>
          <w:r>
            <w:rPr>
              <w:rFonts w:hint="default"/>
            </w:rPr>
            <w:t xml:space="preserve">6.5 </w:t>
          </w:r>
          <w:r>
            <w:rPr>
              <w:rFonts w:hint="eastAsia"/>
            </w:rPr>
            <w:t>讨论</w:t>
          </w:r>
          <w:r>
            <w:tab/>
          </w:r>
          <w:r>
            <w:fldChar w:fldCharType="begin"/>
          </w:r>
          <w:r>
            <w:instrText xml:space="preserve"> PAGEREF _Toc14323 \h </w:instrText>
          </w:r>
          <w:r>
            <w:fldChar w:fldCharType="separate"/>
          </w:r>
          <w:r>
            <w:t>11</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_Toc26258 </w:instrText>
          </w:r>
          <w:r>
            <w:rPr>
              <w:rFonts w:hint="eastAsia"/>
            </w:rPr>
            <w:fldChar w:fldCharType="separate"/>
          </w:r>
          <w:r>
            <w:rPr>
              <w:rFonts w:hint="eastAsia"/>
              <w:bCs w:val="0"/>
              <w:szCs w:val="28"/>
            </w:rPr>
            <w:t>致 谢</w:t>
          </w:r>
          <w:r>
            <w:tab/>
          </w:r>
          <w:r>
            <w:fldChar w:fldCharType="begin"/>
          </w:r>
          <w:r>
            <w:instrText xml:space="preserve"> PAGEREF _Toc26258 \h </w:instrText>
          </w:r>
          <w:r>
            <w:fldChar w:fldCharType="separate"/>
          </w:r>
          <w:r>
            <w:t>12</w:t>
          </w:r>
          <w:r>
            <w:fldChar w:fldCharType="end"/>
          </w:r>
          <w:r>
            <w:rPr>
              <w:rFonts w:hint="eastAsia"/>
            </w:rPr>
            <w:fldChar w:fldCharType="end"/>
          </w:r>
        </w:p>
        <w:p>
          <w:pPr>
            <w:pStyle w:val="11"/>
            <w:tabs>
              <w:tab w:val="right" w:leader="dot" w:pos="8306"/>
            </w:tabs>
          </w:pPr>
          <w:r>
            <w:rPr>
              <w:rFonts w:hint="eastAsia"/>
            </w:rPr>
            <w:fldChar w:fldCharType="begin"/>
          </w:r>
          <w:r>
            <w:rPr>
              <w:rFonts w:hint="eastAsia"/>
            </w:rPr>
            <w:instrText xml:space="preserve"> HYPERLINK \l _Toc7840 </w:instrText>
          </w:r>
          <w:r>
            <w:rPr>
              <w:rFonts w:hint="eastAsia"/>
            </w:rPr>
            <w:fldChar w:fldCharType="separate"/>
          </w:r>
          <w:r>
            <w:rPr>
              <w:rFonts w:hint="eastAsia"/>
            </w:rPr>
            <w:t>参考文献</w:t>
          </w:r>
          <w:r>
            <w:tab/>
          </w:r>
          <w:r>
            <w:fldChar w:fldCharType="begin"/>
          </w:r>
          <w:r>
            <w:instrText xml:space="preserve"> PAGEREF _Toc7840 \h </w:instrText>
          </w:r>
          <w:r>
            <w:fldChar w:fldCharType="separate"/>
          </w:r>
          <w:r>
            <w:t>14</w:t>
          </w:r>
          <w:r>
            <w:fldChar w:fldCharType="end"/>
          </w:r>
          <w:r>
            <w:rPr>
              <w:rFonts w:hint="eastAsia"/>
            </w:rPr>
            <w:fldChar w:fldCharType="end"/>
          </w:r>
        </w:p>
        <w:p>
          <w:pPr>
            <w:rPr>
              <w:rFonts w:hint="eastAsia"/>
            </w:rPr>
            <w:sectPr>
              <w:pgSz w:w="11906" w:h="16838"/>
              <w:pgMar w:top="1440" w:right="1800" w:bottom="1440" w:left="1800" w:header="851" w:footer="992" w:gutter="0"/>
              <w:cols w:space="425" w:num="1"/>
              <w:docGrid w:type="lines" w:linePitch="312" w:charSpace="0"/>
            </w:sectPr>
          </w:pPr>
          <w:r>
            <w:rPr>
              <w:rFonts w:hint="eastAsia"/>
            </w:rPr>
            <w:fldChar w:fldCharType="end"/>
          </w:r>
          <w:bookmarkStart w:id="251" w:name="_GoBack"/>
          <w:bookmarkEnd w:id="251"/>
        </w:p>
      </w:sdtContent>
    </w:sdt>
    <w:p>
      <w:pPr>
        <w:pStyle w:val="13"/>
        <w:widowControl w:val="0"/>
        <w:tabs>
          <w:tab w:val="right" w:leader="dot" w:pos="8306"/>
        </w:tabs>
        <w:jc w:val="center"/>
        <w:rPr>
          <w:rFonts w:hint="eastAsia" w:ascii="黑体" w:hAnsi="宋体" w:eastAsia="黑体"/>
          <w:spacing w:val="-4"/>
          <w:sz w:val="36"/>
        </w:rPr>
      </w:pPr>
      <w:r>
        <w:rPr>
          <w:rFonts w:hint="eastAsia" w:ascii="黑体" w:hAnsi="宋体" w:eastAsia="黑体"/>
          <w:spacing w:val="-4"/>
          <w:sz w:val="36"/>
        </w:rPr>
        <w:t>香紫苏醇抑制</w:t>
      </w:r>
      <w:r>
        <w:rPr>
          <w:rFonts w:hint="default" w:ascii="Times New Roman" w:hAnsi="Times New Roman" w:eastAsia="黑体" w:cs="Times New Roman"/>
          <w:spacing w:val="-4"/>
          <w:sz w:val="36"/>
        </w:rPr>
        <w:t>TGF-β1</w:t>
      </w:r>
      <w:r>
        <w:rPr>
          <w:rFonts w:hint="eastAsia" w:ascii="黑体" w:hAnsi="宋体" w:eastAsia="黑体"/>
          <w:spacing w:val="-4"/>
          <w:sz w:val="36"/>
        </w:rPr>
        <w:t>所致</w:t>
      </w:r>
      <w:r>
        <w:rPr>
          <w:rFonts w:hint="default" w:ascii="Times New Roman" w:hAnsi="Times New Roman" w:eastAsia="黑体" w:cs="Times New Roman"/>
          <w:spacing w:val="-4"/>
          <w:sz w:val="36"/>
        </w:rPr>
        <w:t>LX-2</w:t>
      </w:r>
      <w:r>
        <w:rPr>
          <w:rFonts w:hint="eastAsia" w:ascii="黑体" w:hAnsi="宋体" w:eastAsia="黑体"/>
          <w:spacing w:val="-4"/>
          <w:sz w:val="36"/>
        </w:rPr>
        <w:t>细胞活化的作用及其机制研究</w:t>
      </w:r>
    </w:p>
    <w:p/>
    <w:p>
      <w:pPr>
        <w:pStyle w:val="2"/>
        <w:widowControl w:val="0"/>
        <w:spacing w:before="156" w:beforeLines="50" w:after="156" w:afterLines="50"/>
        <w:jc w:val="both"/>
        <w:rPr>
          <w:rFonts w:hint="eastAsia"/>
          <w:bCs w:val="0"/>
          <w:szCs w:val="28"/>
        </w:rPr>
      </w:pPr>
      <w:bookmarkStart w:id="2" w:name="_Toc164609434"/>
      <w:bookmarkStart w:id="3" w:name="_Toc14499"/>
      <w:r>
        <w:rPr>
          <w:rFonts w:hint="eastAsia"/>
          <w:bCs w:val="0"/>
          <w:szCs w:val="28"/>
        </w:rPr>
        <w:t>摘要：</w:t>
      </w:r>
      <w:bookmarkEnd w:id="2"/>
      <w:bookmarkEnd w:id="3"/>
    </w:p>
    <w:p>
      <w:pPr>
        <w:rPr>
          <w:shd w:val="clear" w:color="auto" w:fill="FFFFFF"/>
        </w:rPr>
      </w:pPr>
      <w:r>
        <w:rPr>
          <w:rFonts w:hint="eastAsia"/>
          <w:b/>
          <w:shd w:val="clear" w:color="auto" w:fill="FFFFFF"/>
        </w:rPr>
        <w:t>目的</w:t>
      </w:r>
      <w:r>
        <w:rPr>
          <w:rFonts w:hint="eastAsia"/>
          <w:shd w:val="clear" w:color="auto" w:fill="FFFFFF"/>
        </w:rPr>
        <w:t xml:space="preserve"> 本研究旨在深入剖析香紫苏醇</w:t>
      </w:r>
      <w:r>
        <w:rPr>
          <w:rFonts w:hint="eastAsia"/>
        </w:rPr>
        <w:t>（</w:t>
      </w:r>
      <w:bookmarkStart w:id="4" w:name="OLE_LINK3"/>
      <w:bookmarkStart w:id="5" w:name="OLE_LINK2"/>
      <w:r>
        <w:t>Sclareol</w:t>
      </w:r>
      <w:bookmarkEnd w:id="4"/>
      <w:bookmarkEnd w:id="5"/>
      <w:r>
        <w:t>，SCL</w:t>
      </w:r>
      <w:r>
        <w:rPr>
          <w:rFonts w:hint="eastAsia"/>
        </w:rPr>
        <w:t>）</w:t>
      </w:r>
      <w:r>
        <w:rPr>
          <w:rFonts w:hint="eastAsia"/>
          <w:shd w:val="clear" w:color="auto" w:fill="FFFFFF"/>
        </w:rPr>
        <w:t>对转化生长因子</w:t>
      </w:r>
      <w:r>
        <w:t>-β</w:t>
      </w:r>
      <w:r>
        <w:rPr>
          <w:rFonts w:hint="eastAsia"/>
        </w:rPr>
        <w:t>1（</w:t>
      </w:r>
      <w:r>
        <w:t>TGF-β</w:t>
      </w:r>
      <w:r>
        <w:rPr>
          <w:rFonts w:hint="eastAsia"/>
        </w:rPr>
        <w:t>1）</w:t>
      </w:r>
      <w:r>
        <w:rPr>
          <w:rFonts w:hint="eastAsia"/>
          <w:shd w:val="clear" w:color="auto" w:fill="FFFFFF"/>
        </w:rPr>
        <w:t>诱导肝星状细胞</w:t>
      </w:r>
      <w:r>
        <w:rPr>
          <w:rFonts w:hint="eastAsia"/>
        </w:rPr>
        <w:t>（LX-2细胞）</w:t>
      </w:r>
      <w:r>
        <w:rPr>
          <w:rFonts w:hint="eastAsia"/>
          <w:shd w:val="clear" w:color="auto" w:fill="FFFFFF"/>
        </w:rPr>
        <w:t xml:space="preserve">活化的影响及其内在机制。 </w:t>
      </w:r>
      <w:r>
        <w:rPr>
          <w:rFonts w:hint="eastAsia"/>
          <w:b/>
          <w:shd w:val="clear" w:color="auto" w:fill="FFFFFF"/>
        </w:rPr>
        <w:t>方法</w:t>
      </w:r>
      <w:r>
        <w:rPr>
          <w:rFonts w:hint="eastAsia"/>
          <w:shd w:val="clear" w:color="auto" w:fill="FFFFFF"/>
        </w:rPr>
        <w:t xml:space="preserve"> 采用</w:t>
      </w:r>
      <w:r>
        <w:rPr>
          <w:lang w:bidi="ar"/>
        </w:rPr>
        <w:t>TGF-β1</w:t>
      </w:r>
      <w:r>
        <w:rPr>
          <w:rFonts w:hint="eastAsia"/>
          <w:lang w:bidi="ar"/>
        </w:rPr>
        <w:t>诱导</w:t>
      </w:r>
      <w:r>
        <w:rPr>
          <w:rFonts w:hint="eastAsia"/>
          <w:shd w:val="clear" w:color="auto" w:fill="FFFFFF"/>
        </w:rPr>
        <w:t>LX-2细胞活化为细胞模型。将实验分为三组：正常组、模型组和SCL给药组。其中，正常组细胞常规培养；模型组细胞通过添加</w:t>
      </w:r>
      <w:r>
        <w:t>TGF-β</w:t>
      </w:r>
      <w:r>
        <w:rPr>
          <w:rFonts w:hint="eastAsia"/>
        </w:rPr>
        <w:t>1</w:t>
      </w:r>
      <w:r>
        <w:rPr>
          <w:rFonts w:hint="eastAsia"/>
          <w:shd w:val="clear" w:color="auto" w:fill="FFFFFF"/>
        </w:rPr>
        <w:t>（5 ng/mL）来诱导</w:t>
      </w:r>
      <w:r>
        <w:rPr>
          <w:rFonts w:hint="eastAsia"/>
        </w:rPr>
        <w:t>LX-2</w:t>
      </w:r>
      <w:r>
        <w:rPr>
          <w:rFonts w:hint="eastAsia"/>
          <w:shd w:val="clear" w:color="auto" w:fill="FFFFFF"/>
        </w:rPr>
        <w:t>细胞活化；而SCL给药组则在</w:t>
      </w:r>
      <w:r>
        <w:rPr>
          <w:shd w:val="clear" w:color="auto" w:fill="FFFFFF"/>
        </w:rPr>
        <w:t>TGF-β1</w:t>
      </w:r>
      <w:r>
        <w:rPr>
          <w:rFonts w:hint="eastAsia"/>
          <w:shd w:val="clear" w:color="auto" w:fill="FFFFFF"/>
        </w:rPr>
        <w:t>（5 ng/mL）诱导的基础上，分别给予</w:t>
      </w:r>
      <w:r>
        <w:rPr>
          <w:shd w:val="clear" w:color="auto" w:fill="FFFFFF"/>
        </w:rPr>
        <w:t>10 μM</w:t>
      </w:r>
      <w:r>
        <w:rPr>
          <w:rFonts w:hint="eastAsia"/>
          <w:shd w:val="clear" w:color="auto" w:fill="FFFFFF"/>
        </w:rPr>
        <w:t>和</w:t>
      </w:r>
      <w:r>
        <w:rPr>
          <w:shd w:val="clear" w:color="auto" w:fill="FFFFFF"/>
        </w:rPr>
        <w:t>20 μM</w:t>
      </w:r>
      <w:r>
        <w:rPr>
          <w:rFonts w:hint="eastAsia"/>
          <w:shd w:val="clear" w:color="auto" w:fill="FFFFFF"/>
        </w:rPr>
        <w:t>两种不同浓度的SCL药物处理。</w:t>
      </w:r>
      <w:r>
        <w:rPr>
          <w:rFonts w:hint="eastAsia" w:ascii="宋体"/>
        </w:rPr>
        <w:t>采用</w:t>
      </w:r>
      <w:r>
        <w:rPr>
          <w:shd w:val="clear" w:color="auto" w:fill="FFFFFF"/>
          <w:lang w:bidi="ar"/>
        </w:rPr>
        <w:t xml:space="preserve"> Transwell </w:t>
      </w:r>
      <w:r>
        <w:rPr>
          <w:rFonts w:hint="eastAsia"/>
          <w:shd w:val="clear" w:color="auto" w:fill="FFFFFF"/>
          <w:lang w:bidi="ar"/>
        </w:rPr>
        <w:t>实验考查</w:t>
      </w:r>
      <w:r>
        <w:rPr>
          <w:rFonts w:hint="eastAsia"/>
          <w:shd w:val="clear" w:color="auto" w:fill="FFFFFF"/>
        </w:rPr>
        <w:t>SCL</w:t>
      </w:r>
      <w:r>
        <w:rPr>
          <w:rFonts w:hint="eastAsia"/>
          <w:shd w:val="clear" w:color="auto" w:fill="FFFFFF"/>
          <w:lang w:bidi="ar"/>
        </w:rPr>
        <w:t>处理后</w:t>
      </w:r>
      <w:r>
        <w:rPr>
          <w:shd w:val="clear" w:color="auto" w:fill="FFFFFF"/>
          <w:lang w:bidi="ar"/>
        </w:rPr>
        <w:t>LX-2</w:t>
      </w:r>
      <w:r>
        <w:rPr>
          <w:rFonts w:hint="eastAsia"/>
          <w:shd w:val="clear" w:color="auto" w:fill="FFFFFF"/>
          <w:lang w:bidi="ar"/>
        </w:rPr>
        <w:t>细胞迁移能力的</w:t>
      </w:r>
      <w:r>
        <w:rPr>
          <w:rFonts w:hint="eastAsia"/>
          <w:shd w:val="clear" w:color="auto" w:fill="FFFFFF"/>
        </w:rPr>
        <w:t>改变；</w:t>
      </w:r>
      <w:r>
        <w:rPr>
          <w:rFonts w:hint="eastAsia"/>
          <w:shd w:val="clear" w:color="auto" w:fill="FFFFFF"/>
          <w:lang w:bidi="ar"/>
        </w:rPr>
        <w:t>再以</w:t>
      </w:r>
      <w:r>
        <w:rPr>
          <w:rFonts w:hint="eastAsia"/>
          <w:lang w:bidi="ar"/>
        </w:rPr>
        <w:t>EdU检测法</w:t>
      </w:r>
      <w:r>
        <w:rPr>
          <w:rFonts w:hint="eastAsia"/>
          <w:shd w:val="clear" w:color="auto" w:fill="FFFFFF"/>
          <w:lang w:bidi="ar"/>
        </w:rPr>
        <w:t>来观察</w:t>
      </w:r>
      <w:r>
        <w:rPr>
          <w:rFonts w:hint="eastAsia"/>
          <w:shd w:val="clear" w:color="auto" w:fill="FFFFFF"/>
        </w:rPr>
        <w:t>SCL</w:t>
      </w:r>
      <w:r>
        <w:rPr>
          <w:rFonts w:hint="eastAsia"/>
          <w:shd w:val="clear" w:color="auto" w:fill="FFFFFF"/>
          <w:lang w:bidi="ar"/>
        </w:rPr>
        <w:t>对</w:t>
      </w:r>
      <w:r>
        <w:rPr>
          <w:shd w:val="clear" w:color="auto" w:fill="FFFFFF"/>
          <w:lang w:bidi="ar"/>
        </w:rPr>
        <w:t xml:space="preserve"> LX-2 </w:t>
      </w:r>
      <w:r>
        <w:rPr>
          <w:rFonts w:hint="eastAsia"/>
          <w:shd w:val="clear" w:color="auto" w:fill="FFFFFF"/>
          <w:lang w:bidi="ar"/>
        </w:rPr>
        <w:t>细胞增殖能力的</w:t>
      </w:r>
      <w:r>
        <w:rPr>
          <w:rFonts w:hint="eastAsia"/>
          <w:shd w:val="clear" w:color="auto" w:fill="FFFFFF"/>
        </w:rPr>
        <w:t>变化；</w:t>
      </w:r>
      <w:r>
        <w:rPr>
          <w:rFonts w:hint="eastAsia"/>
          <w:shd w:val="clear" w:color="auto" w:fill="FFFFFF"/>
          <w:lang w:bidi="ar"/>
        </w:rPr>
        <w:t>通过免疫荧光染色直观的呈现</w:t>
      </w:r>
      <w:r>
        <w:rPr>
          <w:shd w:val="clear" w:color="auto" w:fill="FFFFFF"/>
          <w:lang w:bidi="ar"/>
        </w:rPr>
        <w:t>α-SMA</w:t>
      </w:r>
      <w:r>
        <w:rPr>
          <w:rFonts w:hint="eastAsia"/>
          <w:lang w:bidi="ar"/>
        </w:rPr>
        <w:t>和</w:t>
      </w:r>
      <w:r>
        <w:rPr>
          <w:shd w:val="clear" w:color="auto" w:fill="FFFFFF"/>
          <w:lang w:bidi="ar"/>
        </w:rPr>
        <w:t xml:space="preserve">Collagen Ⅰ </w:t>
      </w:r>
      <w:r>
        <w:rPr>
          <w:rFonts w:hint="eastAsia"/>
          <w:shd w:val="clear" w:color="auto" w:fill="FFFFFF"/>
          <w:lang w:bidi="ar"/>
        </w:rPr>
        <w:t>两种蛋白</w:t>
      </w:r>
      <w:r>
        <w:rPr>
          <w:rFonts w:hint="eastAsia"/>
          <w:lang w:bidi="ar"/>
        </w:rPr>
        <w:t>在细胞内的表达强度；</w:t>
      </w:r>
      <w:r>
        <w:rPr>
          <w:shd w:val="clear" w:color="auto" w:fill="FFFFFF"/>
        </w:rPr>
        <w:t>采用免疫印迹技术</w:t>
      </w:r>
      <w:r>
        <w:rPr>
          <w:rFonts w:hint="eastAsia"/>
          <w:bCs/>
        </w:rPr>
        <w:t>检测细胞中</w:t>
      </w:r>
      <w:r>
        <w:rPr>
          <w:bCs/>
        </w:rPr>
        <w:t>TGF-β</w:t>
      </w:r>
      <w:r>
        <w:rPr>
          <w:rFonts w:hint="eastAsia"/>
          <w:bCs/>
        </w:rPr>
        <w:t>1</w:t>
      </w:r>
      <w:r>
        <w:rPr>
          <w:bCs/>
        </w:rPr>
        <w:t>/Smad通</w:t>
      </w:r>
      <w:r>
        <w:rPr>
          <w:rFonts w:hint="eastAsia"/>
          <w:bCs/>
        </w:rPr>
        <w:t>路中</w:t>
      </w:r>
      <w:r>
        <w:rPr>
          <w:lang w:bidi="ar"/>
        </w:rPr>
        <w:t>Smad2</w:t>
      </w:r>
      <w:r>
        <w:rPr>
          <w:rFonts w:hint="eastAsia"/>
          <w:lang w:bidi="ar"/>
        </w:rPr>
        <w:t>和</w:t>
      </w:r>
      <w:r>
        <w:rPr>
          <w:lang w:bidi="ar"/>
        </w:rPr>
        <w:t>Smad3</w:t>
      </w:r>
      <w:r>
        <w:rPr>
          <w:rFonts w:hint="eastAsia"/>
          <w:lang w:bidi="ar"/>
        </w:rPr>
        <w:t>的磷酸化水平和负调控因子</w:t>
      </w:r>
      <w:r>
        <w:rPr>
          <w:lang w:bidi="ar"/>
        </w:rPr>
        <w:t>Smad7</w:t>
      </w:r>
      <w:r>
        <w:rPr>
          <w:rFonts w:hint="eastAsia"/>
          <w:lang w:bidi="ar"/>
        </w:rPr>
        <w:t xml:space="preserve">的表达。 </w:t>
      </w:r>
      <w:r>
        <w:rPr>
          <w:rFonts w:hint="eastAsia"/>
          <w:b/>
          <w:shd w:val="clear" w:color="auto" w:fill="FFFFFF"/>
        </w:rPr>
        <w:t>结果</w:t>
      </w:r>
      <w:r>
        <w:rPr>
          <w:rFonts w:hint="eastAsia"/>
          <w:shd w:val="clear" w:color="auto" w:fill="FFFFFF"/>
        </w:rPr>
        <w:t xml:space="preserve"> SCL能够在一定浓度下有效抑制由</w:t>
      </w:r>
      <w:r>
        <w:rPr>
          <w:lang w:bidi="ar"/>
        </w:rPr>
        <w:t>TGF-β1</w:t>
      </w:r>
      <w:r>
        <w:rPr>
          <w:rFonts w:hint="eastAsia"/>
          <w:lang w:bidi="ar"/>
        </w:rPr>
        <w:t>引起</w:t>
      </w:r>
      <w:r>
        <w:rPr>
          <w:rFonts w:hint="eastAsia"/>
          <w:shd w:val="clear" w:color="auto" w:fill="FFFFFF"/>
        </w:rPr>
        <w:t>的LX-2细胞迁移和增殖，并且降低</w:t>
      </w:r>
      <w:r>
        <w:rPr>
          <w:shd w:val="clear" w:color="auto" w:fill="FFFFFF"/>
          <w:lang w:bidi="ar"/>
        </w:rPr>
        <w:t>α-SMA</w:t>
      </w:r>
      <w:r>
        <w:rPr>
          <w:rFonts w:hint="eastAsia"/>
          <w:shd w:val="clear" w:color="auto" w:fill="FFFFFF"/>
        </w:rPr>
        <w:t>和</w:t>
      </w:r>
      <w:r>
        <w:rPr>
          <w:shd w:val="clear" w:color="auto" w:fill="FFFFFF"/>
          <w:lang w:bidi="ar"/>
        </w:rPr>
        <w:t>CollagenⅠ</w:t>
      </w:r>
      <w:r>
        <w:rPr>
          <w:rFonts w:hint="eastAsia"/>
          <w:shd w:val="clear" w:color="auto" w:fill="FFFFFF"/>
        </w:rPr>
        <w:t>蛋白的表达，表明SCL可以有效抑制TGF-</w:t>
      </w:r>
      <w:r>
        <w:rPr>
          <w:shd w:val="clear" w:color="auto" w:fill="FFFFFF"/>
        </w:rPr>
        <w:t>β</w:t>
      </w:r>
      <w:r>
        <w:rPr>
          <w:rFonts w:hint="eastAsia"/>
          <w:shd w:val="clear" w:color="auto" w:fill="FFFFFF"/>
        </w:rPr>
        <w:t>1</w:t>
      </w:r>
      <w:r>
        <w:rPr>
          <w:shd w:val="clear" w:color="auto" w:fill="FFFFFF"/>
        </w:rPr>
        <w:t>诱发的LX-2</w:t>
      </w:r>
      <w:r>
        <w:rPr>
          <w:rFonts w:hint="eastAsia"/>
          <w:shd w:val="clear" w:color="auto" w:fill="FFFFFF"/>
        </w:rPr>
        <w:t>活化。进一步的研究发现，SCL可以通过降低</w:t>
      </w:r>
      <w:r>
        <w:rPr>
          <w:lang w:bidi="ar"/>
        </w:rPr>
        <w:t>Smad2</w:t>
      </w:r>
      <w:r>
        <w:rPr>
          <w:rFonts w:hint="eastAsia"/>
          <w:lang w:bidi="ar"/>
        </w:rPr>
        <w:t>和</w:t>
      </w:r>
      <w:r>
        <w:rPr>
          <w:lang w:bidi="ar"/>
        </w:rPr>
        <w:t>Smad3</w:t>
      </w:r>
      <w:r>
        <w:rPr>
          <w:rFonts w:ascii="宋体" w:hAnsi="宋体"/>
          <w:sz w:val="18"/>
          <w:szCs w:val="18"/>
        </w:rPr>
        <w:t>蛋白</w:t>
      </w:r>
      <w:r>
        <w:rPr>
          <w:rFonts w:hint="eastAsia"/>
          <w:shd w:val="clear" w:color="auto" w:fill="FFFFFF"/>
        </w:rPr>
        <w:t>的磷酸化水平，上调</w:t>
      </w:r>
      <w:r>
        <w:rPr>
          <w:lang w:bidi="ar"/>
        </w:rPr>
        <w:t>Smad7</w:t>
      </w:r>
      <w:r>
        <w:rPr>
          <w:rFonts w:hint="eastAsia"/>
          <w:shd w:val="clear" w:color="auto" w:fill="FFFFFF"/>
        </w:rPr>
        <w:t>蛋白的表达来调控</w:t>
      </w:r>
      <w:r>
        <w:rPr>
          <w:rFonts w:hint="default" w:ascii="Times New Roman" w:hAnsi="Times New Roman" w:cs="Times New Roman"/>
          <w:shd w:val="clear" w:color="auto" w:fill="FFFFFF"/>
        </w:rPr>
        <w:t>TGF-β1/</w:t>
      </w:r>
      <w:r>
        <w:rPr>
          <w:rFonts w:hint="eastAsia"/>
          <w:shd w:val="clear" w:color="auto" w:fill="FFFFFF"/>
        </w:rPr>
        <w:t>Smad通路通路，从而抑制了</w:t>
      </w:r>
      <w:r>
        <w:rPr>
          <w:rFonts w:hint="eastAsia"/>
        </w:rPr>
        <w:t>LX-2细胞</w:t>
      </w:r>
      <w:r>
        <w:rPr>
          <w:rFonts w:hint="eastAsia"/>
          <w:shd w:val="clear" w:color="auto" w:fill="FFFFFF"/>
        </w:rPr>
        <w:t xml:space="preserve">的活化。 </w:t>
      </w:r>
      <w:r>
        <w:rPr>
          <w:rFonts w:hint="eastAsia"/>
          <w:b/>
          <w:bCs/>
          <w:shd w:val="clear" w:color="auto" w:fill="FFFFFF"/>
        </w:rPr>
        <w:t>结论</w:t>
      </w:r>
      <w:r>
        <w:rPr>
          <w:rFonts w:hint="eastAsia"/>
          <w:shd w:val="clear" w:color="auto" w:fill="FFFFFF"/>
        </w:rPr>
        <w:t xml:space="preserve"> </w:t>
      </w:r>
      <w:r>
        <w:rPr>
          <w:shd w:val="clear" w:color="auto" w:fill="FFFFFF"/>
        </w:rPr>
        <w:t>SCL</w:t>
      </w:r>
      <w:r>
        <w:rPr>
          <w:rFonts w:hint="eastAsia"/>
          <w:shd w:val="clear" w:color="auto" w:fill="FFFFFF"/>
        </w:rPr>
        <w:t>可以有效的抑制</w:t>
      </w:r>
      <w:r>
        <w:rPr>
          <w:shd w:val="clear" w:color="auto" w:fill="FFFFFF"/>
        </w:rPr>
        <w:t>TGF-β1诱导的LX-2</w:t>
      </w:r>
      <w:r>
        <w:rPr>
          <w:rFonts w:hint="eastAsia"/>
          <w:shd w:val="clear" w:color="auto" w:fill="FFFFFF"/>
        </w:rPr>
        <w:t>细胞</w:t>
      </w:r>
      <w:r>
        <w:rPr>
          <w:shd w:val="clear" w:color="auto" w:fill="FFFFFF"/>
        </w:rPr>
        <w:t>活化，其机制可能与</w:t>
      </w:r>
      <w:r>
        <w:rPr>
          <w:rFonts w:hint="eastAsia"/>
          <w:shd w:val="clear" w:color="auto" w:fill="FFFFFF"/>
        </w:rPr>
        <w:t>调控</w:t>
      </w:r>
      <w:r>
        <w:rPr>
          <w:bCs/>
        </w:rPr>
        <w:t>TGF-β</w:t>
      </w:r>
      <w:r>
        <w:rPr>
          <w:rFonts w:hint="eastAsia"/>
          <w:bCs/>
        </w:rPr>
        <w:t>1</w:t>
      </w:r>
      <w:r>
        <w:rPr>
          <w:bCs/>
        </w:rPr>
        <w:t>/Smad</w:t>
      </w:r>
      <w:r>
        <w:rPr>
          <w:rFonts w:hint="eastAsia"/>
          <w:bCs/>
        </w:rPr>
        <w:t>信号</w:t>
      </w:r>
      <w:r>
        <w:rPr>
          <w:shd w:val="clear" w:color="auto" w:fill="FFFFFF"/>
        </w:rPr>
        <w:t>通路有关。</w:t>
      </w:r>
    </w:p>
    <w:p>
      <w:pPr>
        <w:rPr>
          <w:shd w:val="clear" w:color="auto" w:fill="FFFFFF"/>
        </w:rPr>
      </w:pPr>
    </w:p>
    <w:p>
      <w:r>
        <w:rPr>
          <w:rFonts w:hint="eastAsia" w:ascii="黑体" w:eastAsia="黑体"/>
          <w:sz w:val="28"/>
          <w:szCs w:val="28"/>
        </w:rPr>
        <w:t>关键词</w:t>
      </w:r>
      <w:r>
        <w:rPr>
          <w:rFonts w:hint="eastAsia" w:ascii="宋体" w:hAnsi="宋体"/>
        </w:rPr>
        <w:t>：香紫苏醇</w:t>
      </w:r>
      <w:r>
        <w:rPr>
          <w:rFonts w:hint="eastAsia"/>
        </w:rPr>
        <w:t>；</w:t>
      </w:r>
      <w:r>
        <w:rPr>
          <w:rFonts w:hint="eastAsia"/>
          <w:shd w:val="clear" w:color="auto" w:fill="FFFFFF"/>
        </w:rPr>
        <w:t>转化生长因子</w:t>
      </w:r>
      <w:r>
        <w:t>-β</w:t>
      </w:r>
      <w:r>
        <w:rPr>
          <w:rFonts w:hint="eastAsia"/>
        </w:rPr>
        <w:t>1；</w:t>
      </w:r>
      <w:r>
        <w:rPr>
          <w:rFonts w:hint="eastAsia"/>
          <w:shd w:val="clear" w:color="auto" w:fill="FFFFFF"/>
        </w:rPr>
        <w:t>LX-2</w:t>
      </w:r>
      <w:r>
        <w:rPr>
          <w:rFonts w:hint="eastAsia"/>
        </w:rPr>
        <w:t>肝星状细胞；肝纤维化；</w:t>
      </w:r>
      <w:r>
        <w:rPr>
          <w:bCs/>
        </w:rPr>
        <w:t>TGF-β</w:t>
      </w:r>
      <w:r>
        <w:rPr>
          <w:rFonts w:hint="eastAsia"/>
          <w:bCs/>
        </w:rPr>
        <w:t>1</w:t>
      </w:r>
      <w:r>
        <w:rPr>
          <w:bCs/>
        </w:rPr>
        <w:t>/Smad</w:t>
      </w:r>
      <w:r>
        <w:rPr>
          <w:rFonts w:hint="eastAsia"/>
        </w:rPr>
        <w:t>通路</w:t>
      </w:r>
    </w:p>
    <w:p>
      <w:pPr>
        <w:rPr>
          <w:shd w:val="clear" w:color="auto" w:fill="FFFFFF"/>
        </w:rPr>
      </w:pPr>
    </w:p>
    <w:p>
      <w:pPr>
        <w:widowControl w:val="0"/>
        <w:jc w:val="center"/>
        <w:rPr>
          <w:sz w:val="32"/>
          <w:szCs w:val="20"/>
        </w:rPr>
      </w:pPr>
      <w:r>
        <w:rPr>
          <w:sz w:val="32"/>
          <w:szCs w:val="20"/>
        </w:rPr>
        <w:t xml:space="preserve">Inhibition of LX-2 </w:t>
      </w:r>
      <w:r>
        <w:rPr>
          <w:rFonts w:hint="eastAsia"/>
          <w:sz w:val="32"/>
          <w:szCs w:val="20"/>
        </w:rPr>
        <w:t>C</w:t>
      </w:r>
      <w:r>
        <w:rPr>
          <w:sz w:val="32"/>
          <w:szCs w:val="20"/>
        </w:rPr>
        <w:t xml:space="preserve">ell </w:t>
      </w:r>
      <w:r>
        <w:rPr>
          <w:rFonts w:hint="eastAsia"/>
          <w:sz w:val="32"/>
          <w:szCs w:val="20"/>
        </w:rPr>
        <w:t>A</w:t>
      </w:r>
      <w:r>
        <w:rPr>
          <w:sz w:val="32"/>
          <w:szCs w:val="20"/>
        </w:rPr>
        <w:t>ctivation by TGF-β</w:t>
      </w:r>
      <w:r>
        <w:rPr>
          <w:rFonts w:hint="eastAsia"/>
          <w:sz w:val="32"/>
          <w:szCs w:val="20"/>
        </w:rPr>
        <w:t>1</w:t>
      </w:r>
      <w:r>
        <w:rPr>
          <w:sz w:val="32"/>
          <w:szCs w:val="20"/>
        </w:rPr>
        <w:t xml:space="preserve"> and its </w:t>
      </w:r>
      <w:r>
        <w:rPr>
          <w:rFonts w:hint="eastAsia"/>
          <w:sz w:val="32"/>
          <w:szCs w:val="20"/>
        </w:rPr>
        <w:t>M</w:t>
      </w:r>
      <w:r>
        <w:rPr>
          <w:sz w:val="32"/>
          <w:szCs w:val="20"/>
        </w:rPr>
        <w:t>echanism by Sclareol</w:t>
      </w:r>
    </w:p>
    <w:p>
      <w:pPr>
        <w:rPr>
          <w:shd w:val="clear" w:color="auto" w:fill="FFFFFF"/>
        </w:rPr>
      </w:pPr>
    </w:p>
    <w:p>
      <w:bookmarkStart w:id="6" w:name="_Toc164609435"/>
      <w:bookmarkStart w:id="7" w:name="_Toc25680"/>
      <w:r>
        <w:rPr>
          <w:rStyle w:val="35"/>
          <w:rFonts w:hint="eastAsia"/>
        </w:rPr>
        <w:t>Abstract:</w:t>
      </w:r>
      <w:bookmarkEnd w:id="6"/>
      <w:bookmarkEnd w:id="7"/>
      <w:r>
        <w:rPr>
          <w:rFonts w:hint="eastAsia"/>
        </w:rPr>
        <w:t xml:space="preserve"> </w:t>
      </w:r>
    </w:p>
    <w:p>
      <w:pPr>
        <w:keepNext w:val="0"/>
        <w:keepLines w:val="0"/>
        <w:pageBreakBefore w:val="0"/>
        <w:widowControl/>
        <w:kinsoku/>
        <w:wordWrap/>
        <w:overflowPunct/>
        <w:topLinePunct w:val="0"/>
        <w:autoSpaceDE/>
        <w:autoSpaceDN/>
        <w:bidi w:val="0"/>
        <w:adjustRightInd/>
        <w:snapToGrid/>
        <w:jc w:val="both"/>
        <w:textAlignment w:val="auto"/>
      </w:pPr>
      <w:r>
        <w:rPr>
          <w:b/>
          <w:bCs/>
        </w:rPr>
        <w:t>Objective:</w:t>
      </w:r>
      <w:r>
        <w:rPr>
          <w:rFonts w:hint="eastAsia"/>
        </w:rPr>
        <w:t xml:space="preserve">The effect of Sclareoli (SCL) from the activation of hepatic stellar cells (LX-2) induced a mutation of the factor of increases in </w:t>
      </w:r>
      <w:r>
        <w:t>β1 (TGF-β1)</w:t>
      </w:r>
      <w:r>
        <w:rPr>
          <w:rFonts w:hint="eastAsia"/>
        </w:rPr>
        <w:t xml:space="preserve"> and subiected mechanisms. </w:t>
      </w:r>
      <w:r>
        <w:rPr>
          <w:b/>
          <w:bCs/>
        </w:rPr>
        <w:t>Methods:</w:t>
      </w:r>
      <w:r>
        <w:t xml:space="preserve"> </w:t>
      </w:r>
      <w:bookmarkStart w:id="8" w:name="OLE_LINK9"/>
      <w:r>
        <w:t xml:space="preserve">The use of LX-2 human hepatic cells, such as cells, is constructed by TGF-β1, for example, the cells of the active hepatitis of the star. </w:t>
      </w:r>
      <w:bookmarkEnd w:id="8"/>
      <w:bookmarkStart w:id="9" w:name="OLE_LINK10"/>
      <w:r>
        <w:t xml:space="preserve">The experiment is divided into three parts: a common set, for example, a set of SCL administrations. Among them, a common set of cellular convenience has been exchanged; Cellae stellatae iecoris in circulo exemplaris excitati sunt additis TGF-β1. </w:t>
      </w:r>
      <w:bookmarkEnd w:id="9"/>
      <w:r>
        <w:t>The ratio of TGF-β1 induction (5 ng/m</w:t>
      </w:r>
      <w:r>
        <w:rPr>
          <w:rFonts w:hint="eastAsia"/>
        </w:rPr>
        <w:t>L</w:t>
      </w:r>
      <w:r>
        <w:t>) is treated with two different SCL concentrations, 10 µM and 20 µM respectively. The transition of the tent is added to investigating the changes in the function of the LX-2 cell migration after the SCL curation. Edu's intention is to observe the effect of SCL in proliferation of LX-2I cells. I have demonstrated the intention of expressing the alpha-SMA and Collagen intracellular expressions by exposure to macular fluorescence. In phosphoroylation, the grades of Smad2 and Smad3 and the moderatory expression of Smad7 negative in TGF-β1/Smad were depressed by the western deletion</w:t>
      </w:r>
      <w:r>
        <w:rPr>
          <w:rFonts w:hint="eastAsia"/>
        </w:rPr>
        <w:t xml:space="preserve">. </w:t>
      </w:r>
      <w:r>
        <w:rPr>
          <w:rFonts w:hint="eastAsia"/>
          <w:b/>
          <w:bCs/>
        </w:rPr>
        <w:t xml:space="preserve">Proventus: </w:t>
      </w:r>
      <w:r>
        <w:t xml:space="preserve">The SCL migration and multiplication of LX-2 TGF-β1 cells could be inhibited efficiently, and decreased expressions of the degree α-SMA and Collagen I, meaning that SCL inhibits the activity of LX. 2 adductus TGF-β1. Previously, SCL studies can inhibit the activation of hepatic cells by signalling the components of the TGF-β1/Smad nucleus, reducing the phosphorization of the degree of service Smad2 and Smad3, and increasing the expression of the Smad7 server. </w:t>
      </w:r>
      <w:r>
        <w:rPr>
          <w:b/>
          <w:bCs/>
        </w:rPr>
        <w:t>Conclusion</w:t>
      </w:r>
      <w:r>
        <w:rPr>
          <w:rFonts w:hint="eastAsia"/>
          <w:b/>
          <w:bCs/>
        </w:rPr>
        <w:t>:</w:t>
      </w:r>
      <w:r>
        <w:t xml:space="preserve"> SCL can inhibit the activity of LX-2 cells from the induced TGF-β1, and the mechanism can be referred to TGF-β1/Smad as an important repetition.</w:t>
      </w:r>
    </w:p>
    <w:p/>
    <w:p>
      <w:r>
        <w:rPr>
          <w:b/>
          <w:bCs/>
          <w:sz w:val="28"/>
        </w:rPr>
        <w:t>Key</w:t>
      </w:r>
      <w:r>
        <w:rPr>
          <w:rFonts w:hint="eastAsia"/>
          <w:b/>
          <w:bCs/>
          <w:sz w:val="28"/>
        </w:rPr>
        <w:t xml:space="preserve"> </w:t>
      </w:r>
      <w:r>
        <w:rPr>
          <w:b/>
          <w:bCs/>
          <w:sz w:val="28"/>
        </w:rPr>
        <w:t>words</w:t>
      </w:r>
      <w:r>
        <w:rPr>
          <w:rFonts w:hint="eastAsia"/>
          <w:b/>
          <w:bCs/>
          <w:sz w:val="28"/>
        </w:rPr>
        <w:t>：</w:t>
      </w:r>
      <w:r>
        <w:rPr>
          <w:rFonts w:hint="eastAsia"/>
        </w:rPr>
        <w:t>Perillyl alcohol; Transforming growt</w:t>
      </w:r>
      <w:r>
        <w:t>h factor-β1</w:t>
      </w:r>
      <w:r>
        <w:rPr>
          <w:rFonts w:hint="eastAsia"/>
        </w:rPr>
        <w:t xml:space="preserve">; LX-2 hepatic stellate cells; Liver fibrosis; </w:t>
      </w:r>
      <w:r>
        <w:t>TGF-β1/S</w:t>
      </w:r>
      <w:r>
        <w:rPr>
          <w:rFonts w:hint="eastAsia"/>
        </w:rPr>
        <w:t>mad pathway</w:t>
      </w:r>
      <w:r>
        <w:br w:type="page"/>
      </w:r>
    </w:p>
    <w:p>
      <w:pPr>
        <w:pStyle w:val="2"/>
        <w:numPr>
          <w:ilvl w:val="0"/>
          <w:numId w:val="2"/>
        </w:numPr>
      </w:pPr>
      <w:bookmarkStart w:id="10" w:name="_Toc26907"/>
      <w:r>
        <w:rPr>
          <w:rFonts w:hint="eastAsia"/>
        </w:rPr>
        <w:t xml:space="preserve"> </w:t>
      </w:r>
      <w:bookmarkStart w:id="11" w:name="_Toc164609436"/>
      <w:bookmarkStart w:id="12" w:name="_Toc8710"/>
      <w:r>
        <w:rPr>
          <w:rFonts w:hint="eastAsia"/>
        </w:rPr>
        <w:t>香紫苏醇的研究进展</w:t>
      </w:r>
      <w:bookmarkEnd w:id="10"/>
      <w:bookmarkEnd w:id="11"/>
      <w:bookmarkEnd w:id="12"/>
    </w:p>
    <w:p>
      <w:pPr>
        <w:pStyle w:val="3"/>
        <w:numPr>
          <w:ilvl w:val="1"/>
          <w:numId w:val="2"/>
        </w:numPr>
      </w:pPr>
      <w:bookmarkStart w:id="13" w:name="_Toc9754"/>
      <w:r>
        <w:rPr>
          <w:rFonts w:hint="eastAsia"/>
        </w:rPr>
        <w:t xml:space="preserve"> </w:t>
      </w:r>
      <w:bookmarkStart w:id="14" w:name="_Toc164609437"/>
      <w:bookmarkStart w:id="15" w:name="_Toc9824"/>
      <w:r>
        <w:rPr>
          <w:rFonts w:hint="eastAsia"/>
        </w:rPr>
        <w:t>香紫苏醇简介</w:t>
      </w:r>
      <w:bookmarkEnd w:id="13"/>
      <w:bookmarkEnd w:id="14"/>
      <w:bookmarkEnd w:id="15"/>
    </w:p>
    <w:p>
      <w:pPr>
        <w:ind w:firstLine="420" w:firstLineChars="0"/>
      </w:pPr>
      <w:r>
        <w:rPr>
          <w:rFonts w:hint="eastAsia"/>
        </w:rPr>
        <w:t>香紫苏醇（</w:t>
      </w:r>
      <w:r>
        <w:t>S</w:t>
      </w:r>
      <w:r>
        <w:rPr>
          <w:rFonts w:hint="eastAsia"/>
        </w:rPr>
        <w:t>clareol</w:t>
      </w:r>
      <w:r>
        <w:t>，SCL</w:t>
      </w:r>
      <w:r>
        <w:rPr>
          <w:rFonts w:hint="eastAsia"/>
        </w:rPr>
        <w:t>），是从</w:t>
      </w:r>
      <w:r>
        <w:t>唇形科植物南欧丹参的茎、叶等部位提取到的一种属于半日花烷二萜二叔醇类结构的天然化合物</w:t>
      </w:r>
      <w:r>
        <w:rPr>
          <w:rFonts w:hint="eastAsia"/>
        </w:rPr>
        <w:t>，也被称为硬尾醇</w:t>
      </w:r>
      <w:r>
        <w:rPr>
          <w:vertAlign w:val="superscript"/>
        </w:rPr>
        <w:fldChar w:fldCharType="begin"/>
      </w:r>
      <w:r>
        <w:rPr>
          <w:vertAlign w:val="superscript"/>
        </w:rPr>
        <w:instrText xml:space="preserve"> REF _Ref161242438 \r \h  \* MERGEFORMAT </w:instrText>
      </w:r>
      <w:r>
        <w:rPr>
          <w:vertAlign w:val="superscript"/>
        </w:rPr>
        <w:fldChar w:fldCharType="separate"/>
      </w:r>
      <w:r>
        <w:rPr>
          <w:vertAlign w:val="superscript"/>
        </w:rPr>
        <w:t>[1]</w:t>
      </w:r>
      <w:r>
        <w:rPr>
          <w:vertAlign w:val="superscript"/>
        </w:rPr>
        <w:fldChar w:fldCharType="end"/>
      </w:r>
      <w:r>
        <w:rPr>
          <w:rFonts w:hint="eastAsia"/>
        </w:rPr>
        <w:t>，</w:t>
      </w:r>
      <w:r>
        <w:t>因其结构</w:t>
      </w:r>
      <w:r>
        <w:rPr>
          <w:rFonts w:hint="eastAsia"/>
        </w:rPr>
        <w:t>的特殊性</w:t>
      </w:r>
      <w:r>
        <w:t>而</w:t>
      </w:r>
      <w:r>
        <w:rPr>
          <w:rFonts w:hint="eastAsia"/>
        </w:rPr>
        <w:t>具有多种</w:t>
      </w:r>
      <w:r>
        <w:t>生物活性</w:t>
      </w:r>
      <w:r>
        <w:rPr>
          <w:vertAlign w:val="superscript"/>
        </w:rPr>
        <w:fldChar w:fldCharType="begin"/>
      </w:r>
      <w:r>
        <w:rPr>
          <w:vertAlign w:val="superscript"/>
        </w:rPr>
        <w:instrText xml:space="preserve"> REF _Ref163681478 \r \h  \* MERGEFORMAT </w:instrText>
      </w:r>
      <w:r>
        <w:rPr>
          <w:vertAlign w:val="superscript"/>
        </w:rPr>
        <w:fldChar w:fldCharType="separate"/>
      </w:r>
      <w:r>
        <w:rPr>
          <w:vertAlign w:val="superscript"/>
        </w:rPr>
        <w:t>[2]</w:t>
      </w:r>
      <w:r>
        <w:rPr>
          <w:vertAlign w:val="superscript"/>
        </w:rPr>
        <w:fldChar w:fldCharType="end"/>
      </w:r>
      <w:r>
        <w:t>。作为多功能化合物，</w:t>
      </w:r>
      <w:r>
        <w:rPr>
          <w:rFonts w:hint="eastAsia"/>
        </w:rPr>
        <w:t>SCL</w:t>
      </w:r>
      <w:r>
        <w:t>不仅展现出</w:t>
      </w:r>
      <w:r>
        <w:rPr>
          <w:rFonts w:hint="eastAsia"/>
        </w:rPr>
        <w:t>良好</w:t>
      </w:r>
      <w:r>
        <w:t>的消炎、杀菌及抗微生物感染特性，</w:t>
      </w:r>
      <w:r>
        <w:rPr>
          <w:rFonts w:hint="eastAsia"/>
        </w:rPr>
        <w:t>还被证明具有</w:t>
      </w:r>
      <w:r>
        <w:t>潜在的抗癌活性</w:t>
      </w:r>
      <w:r>
        <w:rPr>
          <w:vertAlign w:val="superscript"/>
        </w:rPr>
        <w:fldChar w:fldCharType="begin"/>
      </w:r>
      <w:r>
        <w:rPr>
          <w:vertAlign w:val="superscript"/>
        </w:rPr>
        <w:instrText xml:space="preserve"> REF _Ref161302618 \r \h  \* MERGEFORMAT </w:instrText>
      </w:r>
      <w:r>
        <w:rPr>
          <w:vertAlign w:val="superscript"/>
        </w:rPr>
        <w:fldChar w:fldCharType="separate"/>
      </w:r>
      <w:r>
        <w:rPr>
          <w:vertAlign w:val="superscript"/>
        </w:rPr>
        <w:t>[3]</w:t>
      </w:r>
      <w:r>
        <w:rPr>
          <w:vertAlign w:val="superscript"/>
        </w:rPr>
        <w:fldChar w:fldCharType="end"/>
      </w:r>
      <w:r>
        <w:t>。在实际应用领域，SCL凭借其广泛的生物活性，</w:t>
      </w:r>
      <w:r>
        <w:rPr>
          <w:rFonts w:hint="eastAsia"/>
        </w:rPr>
        <w:t>在</w:t>
      </w:r>
      <w:r>
        <w:t>医药、农业及香料等多个产业</w:t>
      </w:r>
      <w:r>
        <w:rPr>
          <w:rFonts w:hint="eastAsia"/>
        </w:rPr>
        <w:t>中</w:t>
      </w:r>
      <w:r>
        <w:t>发挥着不可或缺的作用</w:t>
      </w:r>
      <w:r>
        <w:rPr>
          <w:vertAlign w:val="superscript"/>
        </w:rPr>
        <w:fldChar w:fldCharType="begin"/>
      </w:r>
      <w:r>
        <w:rPr>
          <w:vertAlign w:val="superscript"/>
        </w:rPr>
        <w:instrText xml:space="preserve"> REF _Ref161259395 \r \h  \* MERGEFORMAT </w:instrText>
      </w:r>
      <w:r>
        <w:rPr>
          <w:vertAlign w:val="superscript"/>
        </w:rPr>
        <w:fldChar w:fldCharType="separate"/>
      </w:r>
      <w:r>
        <w:rPr>
          <w:vertAlign w:val="superscript"/>
        </w:rPr>
        <w:t>[4]</w:t>
      </w:r>
      <w:r>
        <w:rPr>
          <w:vertAlign w:val="superscript"/>
        </w:rPr>
        <w:fldChar w:fldCharType="end"/>
      </w:r>
      <w:r>
        <w:t>。</w:t>
      </w:r>
    </w:p>
    <w:p>
      <w:pPr>
        <w:pStyle w:val="3"/>
        <w:numPr>
          <w:ilvl w:val="1"/>
          <w:numId w:val="2"/>
        </w:numPr>
      </w:pPr>
      <w:bookmarkStart w:id="16" w:name="_Toc11643"/>
      <w:r>
        <w:rPr>
          <w:rFonts w:hint="eastAsia"/>
        </w:rPr>
        <w:t xml:space="preserve"> </w:t>
      </w:r>
      <w:bookmarkStart w:id="17" w:name="_Toc164609438"/>
      <w:bookmarkStart w:id="18" w:name="_Toc4921"/>
      <w:r>
        <w:rPr>
          <w:rFonts w:hint="eastAsia"/>
        </w:rPr>
        <w:t>香紫苏醇的性质</w:t>
      </w:r>
      <w:bookmarkEnd w:id="16"/>
      <w:bookmarkEnd w:id="17"/>
      <w:bookmarkEnd w:id="18"/>
    </w:p>
    <w:p>
      <w:pPr>
        <w:pStyle w:val="4"/>
        <w:numPr>
          <w:ilvl w:val="2"/>
          <w:numId w:val="2"/>
        </w:numPr>
        <w:tabs>
          <w:tab w:val="clear" w:pos="420"/>
        </w:tabs>
        <w:rPr>
          <w:rFonts w:hint="eastAsia"/>
        </w:rPr>
      </w:pPr>
      <w:bookmarkStart w:id="19" w:name="_Toc12905"/>
      <w:r>
        <w:rPr>
          <w:rFonts w:hint="eastAsia"/>
        </w:rPr>
        <w:t xml:space="preserve"> </w:t>
      </w:r>
      <w:bookmarkStart w:id="20" w:name="_Toc164609439"/>
      <w:bookmarkStart w:id="21" w:name="_Toc23623"/>
      <w:r>
        <w:rPr>
          <w:rFonts w:hint="eastAsia"/>
        </w:rPr>
        <w:t>香紫苏醇的理化性质</w:t>
      </w:r>
      <w:bookmarkEnd w:id="19"/>
      <w:bookmarkEnd w:id="20"/>
      <w:bookmarkEnd w:id="21"/>
    </w:p>
    <w:p>
      <w:pPr>
        <w:ind w:firstLine="420" w:firstLineChars="0"/>
      </w:pPr>
      <w:bookmarkStart w:id="22" w:name="OLE_LINK4"/>
      <w:r>
        <w:t>SCL</w:t>
      </w:r>
      <w:bookmarkEnd w:id="22"/>
      <w:r>
        <w:t>最初是由Volmar首次从香紫苏植物叶片中成功分离并提炼得到</w:t>
      </w:r>
      <w:r>
        <w:rPr>
          <w:vertAlign w:val="superscript"/>
        </w:rPr>
        <w:fldChar w:fldCharType="begin"/>
      </w:r>
      <w:r>
        <w:rPr>
          <w:vertAlign w:val="superscript"/>
        </w:rPr>
        <w:instrText xml:space="preserve"> REF _Ref161302618 \r \h  \* MERGEFORMAT </w:instrText>
      </w:r>
      <w:r>
        <w:rPr>
          <w:vertAlign w:val="superscript"/>
        </w:rPr>
        <w:fldChar w:fldCharType="separate"/>
      </w:r>
      <w:r>
        <w:rPr>
          <w:vertAlign w:val="superscript"/>
        </w:rPr>
        <w:t>[3]</w:t>
      </w:r>
      <w:r>
        <w:rPr>
          <w:vertAlign w:val="superscript"/>
        </w:rPr>
        <w:fldChar w:fldCharType="end"/>
      </w:r>
      <w:r>
        <w:t>，呈白色结晶粉末形态，密度低</w:t>
      </w:r>
      <w:r>
        <w:rPr>
          <w:rFonts w:hint="eastAsia"/>
        </w:rPr>
        <w:t>且</w:t>
      </w:r>
      <w:r>
        <w:rPr>
          <w:rFonts w:hint="eastAsia"/>
          <w:lang w:eastAsia="zh-CN"/>
        </w:rPr>
        <w:t>脂溶</w:t>
      </w:r>
      <w:r>
        <w:t>性好。</w:t>
      </w:r>
      <w:r>
        <w:rPr>
          <w:rFonts w:hint="eastAsia"/>
        </w:rPr>
        <w:t>此外，其具有</w:t>
      </w:r>
      <w:r>
        <w:t>微妙而典型的龙涎香气息，是一种公认的无毒性分子，分子结构</w:t>
      </w:r>
      <w:r>
        <w:rPr>
          <w:rFonts w:hint="eastAsia"/>
        </w:rPr>
        <w:t>式</w:t>
      </w:r>
      <w:r>
        <w:t>如</w:t>
      </w:r>
      <w:r>
        <w:rPr>
          <w:rFonts w:hint="eastAsia"/>
        </w:rPr>
        <w:t>图所示</w:t>
      </w:r>
      <w:r>
        <w:rPr>
          <w:vertAlign w:val="superscript"/>
        </w:rPr>
        <w:fldChar w:fldCharType="begin"/>
      </w:r>
      <w:r>
        <w:rPr>
          <w:vertAlign w:val="superscript"/>
        </w:rPr>
        <w:instrText xml:space="preserve"> </w:instrText>
      </w:r>
      <w:r>
        <w:rPr>
          <w:rFonts w:hint="eastAsia"/>
          <w:vertAlign w:val="superscript"/>
        </w:rPr>
        <w:instrText xml:space="preserve">REF _Ref161271990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t>。</w:t>
      </w:r>
    </w:p>
    <w:p>
      <w:pPr>
        <w:jc w:val="center"/>
      </w:pPr>
      <w:r>
        <w:drawing>
          <wp:inline distT="0" distB="0" distL="0" distR="0">
            <wp:extent cx="2536190" cy="2001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36276" cy="2001600"/>
                    </a:xfrm>
                    <a:prstGeom prst="rect">
                      <a:avLst/>
                    </a:prstGeom>
                  </pic:spPr>
                </pic:pic>
              </a:graphicData>
            </a:graphic>
          </wp:inline>
        </w:drawing>
      </w:r>
    </w:p>
    <w:p>
      <w:pPr>
        <w:jc w:val="center"/>
        <w:rPr>
          <w:rFonts w:hint="eastAsia"/>
          <w:shd w:val="clear" w:color="auto" w:fill="FFFFFF"/>
          <w:vertAlign w:val="superscript"/>
        </w:rPr>
      </w:pPr>
      <w:r>
        <w:rPr>
          <w:rFonts w:hint="eastAsia" w:ascii="宋体" w:hAnsi="宋体" w:cs="宋体"/>
          <w:shd w:val="clear" w:color="auto" w:fill="FFFFFF"/>
        </w:rPr>
        <w:t>图</w:t>
      </w:r>
      <w:r>
        <w:rPr>
          <w:b/>
          <w:bCs/>
          <w:shd w:val="clear" w:color="auto" w:fill="FFFFFF"/>
        </w:rPr>
        <w:t xml:space="preserve"> </w:t>
      </w:r>
      <w:r>
        <w:rPr>
          <w:shd w:val="clear" w:color="auto" w:fill="FFFFFF"/>
        </w:rPr>
        <w:t>1.sclareol的化学结构</w:t>
      </w:r>
      <w:r>
        <w:rPr>
          <w:shd w:val="clear" w:color="auto" w:fill="FFFFFF"/>
          <w:vertAlign w:val="superscript"/>
        </w:rPr>
        <w:fldChar w:fldCharType="begin"/>
      </w:r>
      <w:r>
        <w:rPr>
          <w:shd w:val="clear" w:color="auto" w:fill="FFFFFF"/>
          <w:vertAlign w:val="superscript"/>
        </w:rPr>
        <w:instrText xml:space="preserve"> REF _Ref164592021 \r \h  \* MERGEFORMAT </w:instrText>
      </w:r>
      <w:r>
        <w:rPr>
          <w:shd w:val="clear" w:color="auto" w:fill="FFFFFF"/>
          <w:vertAlign w:val="superscript"/>
        </w:rPr>
        <w:fldChar w:fldCharType="separate"/>
      </w:r>
      <w:r>
        <w:rPr>
          <w:shd w:val="clear" w:color="auto" w:fill="FFFFFF"/>
          <w:vertAlign w:val="superscript"/>
        </w:rPr>
        <w:t>[5]</w:t>
      </w:r>
      <w:r>
        <w:rPr>
          <w:shd w:val="clear" w:color="auto" w:fill="FFFFFF"/>
          <w:vertAlign w:val="superscript"/>
        </w:rPr>
        <w:fldChar w:fldCharType="end"/>
      </w:r>
    </w:p>
    <w:p>
      <w:pPr>
        <w:pStyle w:val="4"/>
        <w:numPr>
          <w:ilvl w:val="2"/>
          <w:numId w:val="2"/>
        </w:numPr>
        <w:tabs>
          <w:tab w:val="clear" w:pos="420"/>
        </w:tabs>
        <w:rPr>
          <w:rFonts w:hint="eastAsia"/>
        </w:rPr>
      </w:pPr>
      <w:r>
        <w:rPr>
          <w:rFonts w:hint="eastAsia"/>
          <w:lang w:val="en-US" w:eastAsia="zh-CN"/>
        </w:rPr>
        <w:t xml:space="preserve"> </w:t>
      </w:r>
      <w:bookmarkStart w:id="23" w:name="_Toc4077"/>
      <w:r>
        <w:rPr>
          <w:rFonts w:hint="eastAsia"/>
        </w:rPr>
        <w:t>香紫苏醇的</w:t>
      </w:r>
      <w:r>
        <w:rPr>
          <w:rFonts w:hint="eastAsia"/>
          <w:lang w:val="en-US" w:eastAsia="zh-CN"/>
        </w:rPr>
        <w:t>来源</w:t>
      </w:r>
      <w:bookmarkEnd w:id="23"/>
    </w:p>
    <w:p>
      <w:pPr>
        <w:ind w:firstLine="420" w:firstLineChars="0"/>
        <w:rPr>
          <w:rFonts w:hint="eastAsia"/>
          <w:shd w:val="clear" w:color="auto" w:fill="FFFFFF"/>
        </w:rPr>
      </w:pPr>
      <w:r>
        <w:t>SCL</w:t>
      </w:r>
      <w:r>
        <w:rPr>
          <w:rFonts w:hint="eastAsia"/>
          <w:shd w:val="clear" w:color="auto" w:fill="FFFFFF"/>
        </w:rPr>
        <w:t>并非仅产自香紫苏，研究已证实其</w:t>
      </w:r>
      <w:r>
        <w:rPr>
          <w:rFonts w:hint="eastAsia"/>
          <w:shd w:val="clear" w:color="auto" w:fill="FFFFFF"/>
          <w:lang w:val="en-US" w:eastAsia="zh-CN"/>
        </w:rPr>
        <w:t>也存在于如</w:t>
      </w:r>
      <w:r>
        <w:rPr>
          <w:rFonts w:hint="eastAsia"/>
          <w:shd w:val="clear" w:color="auto" w:fill="FFFFFF"/>
        </w:rPr>
        <w:t>油菜和烟草</w:t>
      </w:r>
      <w:r>
        <w:rPr>
          <w:rFonts w:hint="eastAsia"/>
          <w:shd w:val="clear" w:color="auto" w:fill="FFFFFF"/>
          <w:lang w:val="en-US" w:eastAsia="zh-CN"/>
        </w:rPr>
        <w:t>等</w:t>
      </w:r>
      <w:r>
        <w:rPr>
          <w:rFonts w:hint="eastAsia"/>
          <w:shd w:val="clear" w:color="auto" w:fill="FFFFFF"/>
        </w:rPr>
        <w:t>植物</w:t>
      </w:r>
      <w:r>
        <w:rPr>
          <w:rFonts w:hint="eastAsia"/>
          <w:shd w:val="clear" w:color="auto" w:fill="FFFFFF"/>
          <w:lang w:val="en-US" w:eastAsia="zh-CN"/>
        </w:rPr>
        <w:t>中</w:t>
      </w:r>
      <w:r>
        <w:rPr>
          <w:rFonts w:hint="eastAsia"/>
          <w:shd w:val="clear" w:color="auto" w:fill="FFFFFF"/>
          <w:vertAlign w:val="superscript"/>
          <w:lang w:val="en-US" w:eastAsia="zh-CN"/>
        </w:rPr>
        <w:fldChar w:fldCharType="begin"/>
      </w:r>
      <w:r>
        <w:rPr>
          <w:rFonts w:hint="eastAsia"/>
          <w:shd w:val="clear" w:color="auto" w:fill="FFFFFF"/>
          <w:vertAlign w:val="superscript"/>
          <w:lang w:val="en-US" w:eastAsia="zh-CN"/>
        </w:rPr>
        <w:instrText xml:space="preserve"> REF _Ref21424 \r \h </w:instrText>
      </w:r>
      <w:r>
        <w:rPr>
          <w:rFonts w:hint="eastAsia"/>
          <w:shd w:val="clear" w:color="auto" w:fill="FFFFFF"/>
          <w:vertAlign w:val="superscript"/>
          <w:lang w:val="en-US" w:eastAsia="zh-CN"/>
        </w:rPr>
        <w:fldChar w:fldCharType="separate"/>
      </w:r>
      <w:r>
        <w:rPr>
          <w:rFonts w:hint="eastAsia"/>
          <w:shd w:val="clear" w:color="auto" w:fill="FFFFFF"/>
          <w:vertAlign w:val="superscript"/>
          <w:lang w:val="en-US" w:eastAsia="zh-CN"/>
        </w:rPr>
        <w:t>[6]</w:t>
      </w:r>
      <w:r>
        <w:rPr>
          <w:rFonts w:hint="eastAsia"/>
          <w:shd w:val="clear" w:color="auto" w:fill="FFFFFF"/>
          <w:vertAlign w:val="superscript"/>
          <w:lang w:val="en-US" w:eastAsia="zh-CN"/>
        </w:rPr>
        <w:fldChar w:fldCharType="end"/>
      </w:r>
      <w:r>
        <w:rPr>
          <w:rFonts w:hint="eastAsia"/>
          <w:shd w:val="clear" w:color="auto" w:fill="FFFFFF"/>
          <w:lang w:eastAsia="zh-CN"/>
        </w:rPr>
        <w:t>。</w:t>
      </w:r>
      <w:r>
        <w:rPr>
          <w:rFonts w:hint="eastAsia"/>
          <w:shd w:val="clear" w:color="auto" w:fill="FFFFFF"/>
        </w:rPr>
        <w:t>在非典型生物合成背景下，这些植物可能作为</w:t>
      </w:r>
      <w:r>
        <w:t>SCL</w:t>
      </w:r>
      <w:r>
        <w:rPr>
          <w:rFonts w:hint="eastAsia"/>
          <w:shd w:val="clear" w:color="auto" w:fill="FFFFFF"/>
        </w:rPr>
        <w:t>的补充或潜在来源</w:t>
      </w:r>
      <w:r>
        <w:rPr>
          <w:rFonts w:hint="eastAsia"/>
          <w:shd w:val="clear" w:color="auto" w:fill="FFFFFF"/>
          <w:lang w:eastAsia="zh-CN"/>
        </w:rPr>
        <w:t>。</w:t>
      </w:r>
      <w:r>
        <w:rPr>
          <w:rFonts w:hint="eastAsia"/>
          <w:shd w:val="clear" w:color="auto" w:fill="FFFFFF"/>
          <w:lang w:val="en-US" w:eastAsia="zh-CN"/>
        </w:rPr>
        <w:t>可以</w:t>
      </w:r>
      <w:r>
        <w:rPr>
          <w:rFonts w:hint="eastAsia"/>
          <w:shd w:val="clear" w:color="auto" w:fill="FFFFFF"/>
        </w:rPr>
        <w:t>通过基因克隆、过表达、RNAi沉默等技术，对与</w:t>
      </w:r>
      <w:r>
        <w:t>SCL</w:t>
      </w:r>
      <w:r>
        <w:rPr>
          <w:rFonts w:hint="eastAsia"/>
          <w:shd w:val="clear" w:color="auto" w:fill="FFFFFF"/>
        </w:rPr>
        <w:t>生物合成相关的酶基因进行定向调控，以使油菜、烟草</w:t>
      </w:r>
      <w:r>
        <w:rPr>
          <w:rFonts w:hint="eastAsia"/>
          <w:shd w:val="clear" w:color="auto" w:fill="FFFFFF"/>
          <w:lang w:val="en-US" w:eastAsia="zh-CN"/>
        </w:rPr>
        <w:t>等</w:t>
      </w:r>
      <w:r>
        <w:rPr>
          <w:rFonts w:hint="eastAsia"/>
          <w:shd w:val="clear" w:color="auto" w:fill="FFFFFF"/>
        </w:rPr>
        <w:t>非传统来源植物成为高产</w:t>
      </w:r>
      <w:r>
        <w:t>SCL</w:t>
      </w:r>
      <w:r>
        <w:rPr>
          <w:rFonts w:hint="eastAsia"/>
          <w:shd w:val="clear" w:color="auto" w:fill="FFFFFF"/>
        </w:rPr>
        <w:t>的生物质资源</w:t>
      </w:r>
      <w:r>
        <w:rPr>
          <w:rFonts w:hint="eastAsia"/>
          <w:shd w:val="clear" w:color="auto" w:fill="FFFFFF"/>
          <w:vertAlign w:val="superscript"/>
          <w:lang w:eastAsia="zh-CN"/>
        </w:rPr>
        <w:fldChar w:fldCharType="begin"/>
      </w:r>
      <w:r>
        <w:rPr>
          <w:rFonts w:hint="eastAsia"/>
          <w:shd w:val="clear" w:color="auto" w:fill="FFFFFF"/>
          <w:vertAlign w:val="superscript"/>
          <w:lang w:eastAsia="zh-CN"/>
        </w:rPr>
        <w:instrText xml:space="preserve"> REF _Ref22540 \r \h </w:instrText>
      </w:r>
      <w:r>
        <w:rPr>
          <w:rFonts w:hint="eastAsia"/>
          <w:shd w:val="clear" w:color="auto" w:fill="FFFFFF"/>
          <w:vertAlign w:val="superscript"/>
          <w:lang w:eastAsia="zh-CN"/>
        </w:rPr>
        <w:fldChar w:fldCharType="separate"/>
      </w:r>
      <w:r>
        <w:rPr>
          <w:rFonts w:hint="eastAsia"/>
          <w:shd w:val="clear" w:color="auto" w:fill="FFFFFF"/>
          <w:vertAlign w:val="superscript"/>
          <w:lang w:eastAsia="zh-CN"/>
        </w:rPr>
        <w:t>[7]</w:t>
      </w:r>
      <w:r>
        <w:rPr>
          <w:rFonts w:hint="eastAsia"/>
          <w:shd w:val="clear" w:color="auto" w:fill="FFFFFF"/>
          <w:vertAlign w:val="superscript"/>
          <w:lang w:eastAsia="zh-CN"/>
        </w:rPr>
        <w:fldChar w:fldCharType="end"/>
      </w:r>
      <w:r>
        <w:rPr>
          <w:rFonts w:hint="eastAsia"/>
          <w:shd w:val="clear" w:color="auto" w:fill="FFFFFF"/>
        </w:rPr>
        <w:t>。这一策略有望拓宽</w:t>
      </w:r>
      <w:r>
        <w:t>SCL</w:t>
      </w:r>
      <w:r>
        <w:rPr>
          <w:rFonts w:hint="eastAsia"/>
          <w:shd w:val="clear" w:color="auto" w:fill="FFFFFF"/>
        </w:rPr>
        <w:t>的生物制造途径，实现其在不同植物中的高效生产。</w:t>
      </w:r>
    </w:p>
    <w:p>
      <w:pPr>
        <w:pStyle w:val="4"/>
        <w:numPr>
          <w:ilvl w:val="2"/>
          <w:numId w:val="2"/>
        </w:numPr>
        <w:tabs>
          <w:tab w:val="clear" w:pos="420"/>
        </w:tabs>
        <w:rPr>
          <w:rFonts w:hint="eastAsia"/>
          <w:lang w:val="en-US" w:eastAsia="zh-CN"/>
        </w:rPr>
      </w:pPr>
      <w:bookmarkStart w:id="24" w:name="_Toc4062"/>
      <w:bookmarkStart w:id="25" w:name="_Toc164609440"/>
      <w:r>
        <w:rPr>
          <w:rFonts w:hint="eastAsia"/>
          <w:lang w:val="en-US" w:eastAsia="zh-CN"/>
        </w:rPr>
        <w:t xml:space="preserve"> </w:t>
      </w:r>
      <w:bookmarkStart w:id="26" w:name="_Toc21620"/>
      <w:r>
        <w:rPr>
          <w:rFonts w:hint="eastAsia"/>
          <w:lang w:val="en-US" w:eastAsia="zh-CN"/>
        </w:rPr>
        <w:t>香紫苏醇的制备</w:t>
      </w:r>
      <w:bookmarkEnd w:id="24"/>
      <w:bookmarkEnd w:id="25"/>
      <w:bookmarkEnd w:id="26"/>
    </w:p>
    <w:p>
      <w:pPr>
        <w:ind w:firstLine="420" w:firstLineChars="0"/>
        <w:rPr>
          <w:rFonts w:hint="eastAsia"/>
        </w:rPr>
      </w:pPr>
      <w:r>
        <w:rPr>
          <w:rFonts w:hint="eastAsia"/>
        </w:rPr>
        <w:t>目前从香紫苏花序中萃取天然SCL是一项相对普遍且成熟的技术手段</w:t>
      </w:r>
      <w:r>
        <w:rPr>
          <w:vertAlign w:val="superscript"/>
        </w:rPr>
        <w:fldChar w:fldCharType="begin"/>
      </w:r>
      <w:r>
        <w:rPr>
          <w:vertAlign w:val="superscript"/>
        </w:rPr>
        <w:instrText xml:space="preserve"> </w:instrText>
      </w:r>
      <w:r>
        <w:rPr>
          <w:rFonts w:hint="eastAsia"/>
          <w:vertAlign w:val="superscript"/>
        </w:rPr>
        <w:instrText xml:space="preserve">REF _Ref164436151 \r \h</w:instrText>
      </w:r>
      <w:r>
        <w:rPr>
          <w:vertAlign w:val="superscript"/>
        </w:rPr>
        <w:instrText xml:space="preserve">  \* MERGEFORMAT </w:instrText>
      </w:r>
      <w:r>
        <w:rPr>
          <w:vertAlign w:val="superscript"/>
        </w:rPr>
        <w:fldChar w:fldCharType="separate"/>
      </w:r>
      <w:r>
        <w:rPr>
          <w:vertAlign w:val="superscript"/>
        </w:rPr>
        <w:t>[8]</w:t>
      </w:r>
      <w:r>
        <w:rPr>
          <w:vertAlign w:val="superscript"/>
        </w:rPr>
        <w:fldChar w:fldCharType="end"/>
      </w:r>
      <w:r>
        <w:rPr>
          <w:rFonts w:hint="eastAsia"/>
        </w:rPr>
        <w:t>，其传统制备途径大致有五种：植物萃取法、化学溶剂萃取法、微生物发酵法、化能合成法和生物转化法</w:t>
      </w:r>
      <w:r>
        <w:rPr>
          <w:vertAlign w:val="superscript"/>
        </w:rPr>
        <w:fldChar w:fldCharType="begin"/>
      </w:r>
      <w:r>
        <w:rPr>
          <w:vertAlign w:val="superscript"/>
        </w:rPr>
        <w:instrText xml:space="preserve"> </w:instrText>
      </w:r>
      <w:r>
        <w:rPr>
          <w:rFonts w:hint="eastAsia"/>
          <w:vertAlign w:val="superscript"/>
        </w:rPr>
        <w:instrText xml:space="preserve">REF _Ref164436164 \r \h</w:instrText>
      </w:r>
      <w:r>
        <w:rPr>
          <w:vertAlign w:val="superscript"/>
        </w:rPr>
        <w:instrText xml:space="preserve">  \* MERGEFORMAT </w:instrText>
      </w:r>
      <w:r>
        <w:rPr>
          <w:vertAlign w:val="superscript"/>
        </w:rPr>
        <w:fldChar w:fldCharType="separate"/>
      </w:r>
      <w:r>
        <w:rPr>
          <w:vertAlign w:val="superscript"/>
        </w:rPr>
        <w:t>[9]</w:t>
      </w:r>
      <w:r>
        <w:rPr>
          <w:vertAlign w:val="superscript"/>
        </w:rPr>
        <w:fldChar w:fldCharType="end"/>
      </w:r>
      <w:r>
        <w:rPr>
          <w:rFonts w:hint="eastAsia"/>
        </w:rPr>
        <w:t>。然而，科技进步推动了更高效、先进的SCL生产探索，其中一项便是利用微生物发酵技术，培养能产生SCL的特定微生物并从其发酵液中提取和纯化SCL</w:t>
      </w:r>
      <w:r>
        <w:rPr>
          <w:vertAlign w:val="superscript"/>
        </w:rPr>
        <w:fldChar w:fldCharType="begin"/>
      </w:r>
      <w:r>
        <w:rPr>
          <w:vertAlign w:val="superscript"/>
        </w:rPr>
        <w:instrText xml:space="preserve"> </w:instrText>
      </w:r>
      <w:r>
        <w:rPr>
          <w:rFonts w:hint="eastAsia"/>
          <w:vertAlign w:val="superscript"/>
        </w:rPr>
        <w:instrText xml:space="preserve">REF _Ref164592743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。这种方式不仅提高了SCL的生产效率，还能降低对自然资源的依赖度，为SCL的大规模工业化生产和应用开辟了新的路径。</w:t>
      </w:r>
    </w:p>
    <w:p>
      <w:pPr>
        <w:pStyle w:val="3"/>
        <w:numPr>
          <w:ilvl w:val="1"/>
          <w:numId w:val="2"/>
        </w:numPr>
      </w:pPr>
      <w:bookmarkStart w:id="27" w:name="_Toc164609441"/>
      <w:bookmarkStart w:id="28" w:name="_Toc14965"/>
      <w:bookmarkStart w:id="29" w:name="_Toc1187"/>
      <w:bookmarkStart w:id="30" w:name="OLE_LINK8"/>
      <w:r>
        <w:rPr>
          <w:rFonts w:hint="eastAsia"/>
        </w:rPr>
        <w:t>香紫苏醇的药理作用</w:t>
      </w:r>
      <w:bookmarkEnd w:id="27"/>
      <w:bookmarkEnd w:id="28"/>
      <w:bookmarkEnd w:id="29"/>
    </w:p>
    <w:p>
      <w:pPr>
        <w:pStyle w:val="4"/>
        <w:numPr>
          <w:ilvl w:val="2"/>
          <w:numId w:val="2"/>
        </w:numPr>
        <w:tabs>
          <w:tab w:val="clear" w:pos="420"/>
        </w:tabs>
        <w:rPr>
          <w:rFonts w:hint="eastAsia"/>
        </w:rPr>
      </w:pPr>
      <w:bookmarkStart w:id="31" w:name="_Toc6848"/>
      <w:r>
        <w:rPr>
          <w:rFonts w:hint="eastAsia"/>
        </w:rPr>
        <w:t xml:space="preserve"> </w:t>
      </w:r>
      <w:bookmarkStart w:id="32" w:name="_Toc164609442"/>
      <w:bookmarkStart w:id="33" w:name="_Toc26170"/>
      <w:r>
        <w:rPr>
          <w:rFonts w:hint="eastAsia"/>
        </w:rPr>
        <w:t>抗炎作用</w:t>
      </w:r>
      <w:bookmarkEnd w:id="31"/>
      <w:bookmarkEnd w:id="32"/>
      <w:bookmarkEnd w:id="33"/>
    </w:p>
    <w:p>
      <w:pPr>
        <w:ind w:firstLine="420" w:firstLineChars="0"/>
        <w:rPr>
          <w:rFonts w:ascii="Arial" w:hAnsi="Arial"/>
          <w:color w:val="222222"/>
          <w:sz w:val="20"/>
          <w:shd w:val="clear" w:color="auto" w:fill="FFFFFF"/>
        </w:rPr>
      </w:pPr>
      <w:r>
        <w:rPr>
          <w:rFonts w:hint="eastAsia"/>
          <w:shd w:val="clear" w:color="auto" w:fill="FFFFFF"/>
        </w:rPr>
        <w:t>SCL已被证明具有良好的抗炎活性。有研究显示</w:t>
      </w:r>
      <w:r>
        <w:rPr>
          <w:rFonts w:ascii="Arial" w:hAnsi="Arial"/>
          <w:color w:val="222222"/>
          <w:shd w:val="clear" w:color="auto" w:fill="FFFFFF"/>
        </w:rPr>
        <w:t>，</w:t>
      </w:r>
      <w:r>
        <w:rPr>
          <w:rFonts w:hint="eastAsia"/>
        </w:rPr>
        <w:t>SCL</w:t>
      </w:r>
      <w:r>
        <w:t>能够抑制炎性细胞因子</w:t>
      </w:r>
      <w:r>
        <w:rPr>
          <w:rFonts w:hint="eastAsia"/>
        </w:rPr>
        <w:t>的</w:t>
      </w:r>
      <w:r>
        <w:t>产生</w:t>
      </w:r>
      <w:r>
        <w:rPr>
          <w:rFonts w:hint="eastAsia"/>
        </w:rPr>
        <w:t>，</w:t>
      </w:r>
      <w:r>
        <w:t>在应对多种类型的炎症性疾病上展现出积极的治疗效果</w:t>
      </w:r>
      <w:r>
        <w:rPr>
          <w:vertAlign w:val="superscript"/>
        </w:rPr>
        <w:fldChar w:fldCharType="begin"/>
      </w:r>
      <w:r>
        <w:rPr>
          <w:vertAlign w:val="superscript"/>
        </w:rPr>
        <w:instrText xml:space="preserve"> REF _Ref164605225 \r \h  \* MERGEFORMAT </w:instrText>
      </w:r>
      <w:r>
        <w:rPr>
          <w:vertAlign w:val="superscript"/>
        </w:rPr>
        <w:fldChar w:fldCharType="separate"/>
      </w:r>
      <w:r>
        <w:rPr>
          <w:vertAlign w:val="superscript"/>
        </w:rPr>
        <w:t>[11]</w:t>
      </w:r>
      <w:r>
        <w:rPr>
          <w:vertAlign w:val="superscript"/>
        </w:rPr>
        <w:fldChar w:fldCharType="end"/>
      </w:r>
      <w:r>
        <w:rPr>
          <w:vertAlign w:val="superscript"/>
        </w:rPr>
        <w:fldChar w:fldCharType="begin"/>
      </w:r>
      <w:r>
        <w:rPr>
          <w:vertAlign w:val="superscript"/>
        </w:rPr>
        <w:instrText xml:space="preserve"> REF _Ref164605226 \r \h  \* MERGEFORMAT </w:instrText>
      </w:r>
      <w:r>
        <w:rPr>
          <w:vertAlign w:val="superscript"/>
        </w:rPr>
        <w:fldChar w:fldCharType="separate"/>
      </w:r>
      <w:r>
        <w:rPr>
          <w:vanish/>
          <w:vertAlign w:val="superscript"/>
        </w:rPr>
        <w:t>[12]</w:t>
      </w:r>
      <w:r>
        <w:rPr>
          <w:vertAlign w:val="superscript"/>
        </w:rPr>
        <w:fldChar w:fldCharType="end"/>
      </w:r>
      <w:r>
        <w:rPr>
          <w:rFonts w:hint="eastAsia"/>
        </w:rPr>
        <w:t>。</w:t>
      </w:r>
      <w:r>
        <w:t>蔡伟森团队运用人滑膜细胞系SW982以及类风湿性关节炎、胶原诱导关节炎</w:t>
      </w:r>
      <w:r>
        <w:rPr>
          <w:rFonts w:hint="eastAsia"/>
        </w:rPr>
        <w:t>（</w:t>
      </w:r>
      <w:r>
        <w:t>CIA</w:t>
      </w:r>
      <w:r>
        <w:rPr>
          <w:rFonts w:hint="eastAsia"/>
        </w:rPr>
        <w:t>）</w:t>
      </w:r>
      <w:r>
        <w:t>实验小鼠模型，深入探究了SCL对类风湿性关节炎</w:t>
      </w:r>
      <w:r>
        <w:rPr>
          <w:rFonts w:hint="eastAsia"/>
        </w:rPr>
        <w:t>（</w:t>
      </w:r>
      <w:r>
        <w:t>RA</w:t>
      </w:r>
      <w:r>
        <w:rPr>
          <w:rFonts w:hint="eastAsia"/>
        </w:rPr>
        <w:t>）</w:t>
      </w:r>
      <w:r>
        <w:t>病情改善的</w:t>
      </w:r>
      <w:r>
        <w:rPr>
          <w:rFonts w:hint="eastAsia"/>
        </w:rPr>
        <w:t>情况，</w:t>
      </w:r>
      <w:r>
        <w:t>证明</w:t>
      </w:r>
      <w:r>
        <w:rPr>
          <w:rFonts w:hint="eastAsia"/>
        </w:rPr>
        <w:t>了SCL</w:t>
      </w:r>
      <w:r>
        <w:t>可以通过调节过度炎症来缓解关节炎</w:t>
      </w:r>
      <w:r>
        <w:rPr>
          <w:vertAlign w:val="superscript"/>
        </w:rPr>
        <w:fldChar w:fldCharType="begin"/>
      </w:r>
      <w:r>
        <w:rPr>
          <w:vertAlign w:val="superscript"/>
        </w:rPr>
        <w:instrText xml:space="preserve"> REF _Ref161267829 \r \h  \* MERGEFORMAT </w:instrText>
      </w:r>
      <w:r>
        <w:rPr>
          <w:vertAlign w:val="superscript"/>
        </w:rPr>
        <w:fldChar w:fldCharType="separate"/>
      </w:r>
      <w:r>
        <w:rPr>
          <w:vertAlign w:val="superscript"/>
        </w:rPr>
        <w:t>[13]</w:t>
      </w:r>
      <w:r>
        <w:rPr>
          <w:vertAlign w:val="superscript"/>
        </w:rPr>
        <w:fldChar w:fldCharType="end"/>
      </w:r>
      <w:r>
        <w:t>。</w:t>
      </w:r>
      <w:r>
        <w:rPr>
          <w:rFonts w:hint="eastAsia" w:ascii="Arial" w:hAnsi="Arial"/>
          <w:color w:val="222222"/>
          <w:shd w:val="clear" w:color="auto" w:fill="FFFFFF"/>
        </w:rPr>
        <w:t>与此同时，有研究表明</w:t>
      </w:r>
      <w:r>
        <w:rPr>
          <w:rFonts w:ascii="Arial" w:hAnsi="Arial"/>
          <w:color w:val="222222"/>
          <w:shd w:val="clear" w:color="auto" w:fill="FFFFFF"/>
        </w:rPr>
        <w:t>，</w:t>
      </w:r>
      <w:r>
        <w:t>SCL</w:t>
      </w:r>
      <w:r>
        <w:rPr>
          <w:rFonts w:ascii="Arial" w:hAnsi="Arial"/>
          <w:color w:val="222222"/>
          <w:shd w:val="clear" w:color="auto" w:fill="FFFFFF"/>
        </w:rPr>
        <w:t>能够通过</w:t>
      </w:r>
      <w:r>
        <w:rPr>
          <w:rFonts w:hint="eastAsia" w:ascii="Arial" w:hAnsi="Arial"/>
          <w:color w:val="222222"/>
          <w:shd w:val="clear" w:color="auto" w:fill="FFFFFF"/>
        </w:rPr>
        <w:t>下调</w:t>
      </w:r>
      <w:r>
        <w:t>OTR</w:t>
      </w:r>
      <w:r>
        <w:rPr>
          <w:rFonts w:ascii="Arial" w:hAnsi="Arial"/>
          <w:color w:val="222222"/>
          <w:sz w:val="20"/>
          <w:shd w:val="clear" w:color="auto" w:fill="FFFFFF"/>
        </w:rPr>
        <w:t>、</w:t>
      </w:r>
      <w:r>
        <w:t>MLCK</w:t>
      </w:r>
      <w:r>
        <w:rPr>
          <w:rFonts w:ascii="Arial" w:hAnsi="Arial"/>
          <w:color w:val="222222"/>
          <w:sz w:val="20"/>
          <w:shd w:val="clear" w:color="auto" w:fill="FFFFFF"/>
        </w:rPr>
        <w:t>、</w:t>
      </w:r>
      <w:r>
        <w:t>COX-2</w:t>
      </w:r>
      <w:r>
        <w:rPr>
          <w:rFonts w:ascii="Arial" w:hAnsi="Arial"/>
          <w:color w:val="222222"/>
          <w:sz w:val="20"/>
          <w:shd w:val="clear" w:color="auto" w:fill="FFFFFF"/>
        </w:rPr>
        <w:t>、</w:t>
      </w:r>
      <w:r>
        <w:t>p-ERK</w:t>
      </w:r>
      <w:r>
        <w:rPr>
          <w:rFonts w:ascii="Arial" w:hAnsi="Arial"/>
          <w:color w:val="222222"/>
          <w:sz w:val="20"/>
          <w:shd w:val="clear" w:color="auto" w:fill="FFFFFF"/>
        </w:rPr>
        <w:t>、</w:t>
      </w:r>
      <w:r>
        <w:t>p-p38</w:t>
      </w:r>
      <w:r>
        <w:rPr>
          <w:rFonts w:ascii="Arial" w:hAnsi="Arial"/>
          <w:color w:val="222222"/>
          <w:shd w:val="clear" w:color="auto" w:fill="FFFFFF"/>
        </w:rPr>
        <w:t>和</w:t>
      </w:r>
      <w:r>
        <w:rPr>
          <w:rFonts w:ascii="Arial" w:hAnsi="Arial"/>
          <w:color w:val="222222"/>
          <w:sz w:val="20"/>
          <w:shd w:val="clear" w:color="auto" w:fill="FFFFFF"/>
        </w:rPr>
        <w:t xml:space="preserve"> </w:t>
      </w:r>
      <w:r>
        <w:t>p-MLC20</w:t>
      </w:r>
      <w:r>
        <w:rPr>
          <w:rFonts w:hint="eastAsia" w:ascii="Arial" w:hAnsi="Arial"/>
          <w:color w:val="222222"/>
          <w:shd w:val="clear" w:color="auto" w:fill="FFFFFF"/>
        </w:rPr>
        <w:t>的</w:t>
      </w:r>
      <w:r>
        <w:rPr>
          <w:rFonts w:ascii="Arial" w:hAnsi="Arial"/>
          <w:color w:val="222222"/>
          <w:shd w:val="clear" w:color="auto" w:fill="FFFFFF"/>
        </w:rPr>
        <w:t>蛋白表达水平，并调控细胞内钙离子浓度，</w:t>
      </w:r>
      <w:r>
        <w:rPr>
          <w:rFonts w:hint="eastAsia" w:ascii="Arial" w:hAnsi="Arial"/>
          <w:color w:val="222222"/>
          <w:shd w:val="clear" w:color="auto" w:fill="FFFFFF"/>
        </w:rPr>
        <w:t>来</w:t>
      </w:r>
      <w:r>
        <w:rPr>
          <w:rFonts w:ascii="Arial" w:hAnsi="Arial"/>
          <w:color w:val="222222"/>
          <w:shd w:val="clear" w:color="auto" w:fill="FFFFFF"/>
        </w:rPr>
        <w:t>缓解原发性痛经和炎症</w:t>
      </w:r>
      <w:r>
        <w:rPr>
          <w:vertAlign w:val="superscript"/>
        </w:rPr>
        <w:fldChar w:fldCharType="begin"/>
      </w:r>
      <w:r>
        <w:rPr>
          <w:vertAlign w:val="superscript"/>
        </w:rPr>
        <w:instrText xml:space="preserve"> REF _Ref161271990 \r \h  \* MERGEFORMAT </w:instrText>
      </w:r>
      <w:r>
        <w:rPr>
          <w:vertAlign w:val="superscript"/>
        </w:rPr>
        <w:fldChar w:fldCharType="separate"/>
      </w:r>
      <w:r>
        <w:rPr>
          <w:vertAlign w:val="superscript"/>
        </w:rPr>
        <w:t>[5]</w:t>
      </w:r>
      <w:r>
        <w:rPr>
          <w:vertAlign w:val="superscript"/>
        </w:rPr>
        <w:fldChar w:fldCharType="end"/>
      </w:r>
      <w:r>
        <w:rPr>
          <w:rFonts w:ascii="Arial" w:hAnsi="Arial"/>
          <w:color w:val="222222"/>
          <w:sz w:val="20"/>
          <w:shd w:val="clear" w:color="auto" w:fill="FFFFFF"/>
        </w:rPr>
        <w:t>。</w:t>
      </w:r>
    </w:p>
    <w:p>
      <w:pPr>
        <w:ind w:firstLine="420" w:firstLineChars="0"/>
        <w:rPr>
          <w:shd w:val="clear" w:color="auto" w:fill="FFFFFF"/>
        </w:rPr>
      </w:pPr>
      <w:r>
        <w:rPr>
          <w:rFonts w:hint="eastAsia"/>
          <w:shd w:val="clear" w:color="auto" w:fill="FFFFFF"/>
        </w:rPr>
        <w:t>上述研究共同表明SCL的抗炎潜力，为其应用于类风湿性关节炎和其他炎症性疾病的临床治疗提供了治疗方向。</w:t>
      </w:r>
    </w:p>
    <w:p>
      <w:pPr>
        <w:pStyle w:val="4"/>
        <w:numPr>
          <w:ilvl w:val="2"/>
          <w:numId w:val="2"/>
        </w:numPr>
        <w:tabs>
          <w:tab w:val="clear" w:pos="420"/>
        </w:tabs>
        <w:rPr>
          <w:rFonts w:hint="eastAsia"/>
        </w:rPr>
      </w:pPr>
      <w:bookmarkStart w:id="34" w:name="_Toc7903"/>
      <w:r>
        <w:rPr>
          <w:rFonts w:hint="eastAsia"/>
        </w:rPr>
        <w:t xml:space="preserve"> </w:t>
      </w:r>
      <w:bookmarkStart w:id="35" w:name="_Toc164609443"/>
      <w:bookmarkStart w:id="36" w:name="_Toc26811"/>
      <w:r>
        <w:rPr>
          <w:rFonts w:hint="eastAsia"/>
        </w:rPr>
        <w:t>抗菌作用</w:t>
      </w:r>
      <w:bookmarkEnd w:id="34"/>
      <w:bookmarkEnd w:id="35"/>
      <w:bookmarkEnd w:id="36"/>
    </w:p>
    <w:p>
      <w:pPr>
        <w:ind w:firstLine="420" w:firstLineChars="0"/>
        <w:rPr>
          <w:shd w:val="clear" w:color="auto" w:fill="FFFFFF"/>
        </w:rPr>
      </w:pPr>
      <w:r>
        <w:rPr>
          <w:rFonts w:hint="eastAsia"/>
          <w:shd w:val="clear" w:color="auto" w:fill="FFFFFF"/>
        </w:rPr>
        <w:t>SCL显示出对多种细菌的高度抗菌性能，其中包括金黄色葡萄球菌、表皮葡萄球菌、大肠杆菌、普通变形杆菌以及绿脓杆菌</w:t>
      </w:r>
      <w:r>
        <w:rPr>
          <w:vertAlign w:val="superscript"/>
        </w:rPr>
        <w:fldChar w:fldCharType="begin"/>
      </w:r>
      <w:r>
        <w:rPr>
          <w:vertAlign w:val="superscript"/>
        </w:rPr>
        <w:instrText xml:space="preserve"> </w:instrText>
      </w:r>
      <w:r>
        <w:rPr>
          <w:rFonts w:hint="eastAsia"/>
          <w:vertAlign w:val="superscript"/>
        </w:rPr>
        <w:instrText xml:space="preserve">REF _Ref164190980 \r \h</w:instrText>
      </w:r>
      <w:r>
        <w:rPr>
          <w:vertAlign w:val="superscript"/>
        </w:rPr>
        <w:instrText xml:space="preserve">  \* MERGEFORMAT </w:instrText>
      </w:r>
      <w:r>
        <w:rPr>
          <w:vertAlign w:val="superscript"/>
        </w:rPr>
        <w:fldChar w:fldCharType="separate"/>
      </w:r>
      <w:r>
        <w:rPr>
          <w:vertAlign w:val="superscript"/>
        </w:rPr>
        <w:t>[14]</w:t>
      </w:r>
      <w:r>
        <w:rPr>
          <w:vertAlign w:val="superscript"/>
        </w:rPr>
        <w:fldChar w:fldCharType="end"/>
      </w:r>
      <w:r>
        <w:rPr>
          <w:rFonts w:hint="eastAsia"/>
          <w:shd w:val="clear" w:color="auto" w:fill="FFFFFF"/>
        </w:rPr>
        <w:t>。</w:t>
      </w:r>
    </w:p>
    <w:p>
      <w:pPr>
        <w:ind w:firstLine="420" w:firstLineChars="0"/>
        <w:rPr>
          <w:shd w:val="clear" w:color="auto" w:fill="FFFFFF"/>
        </w:rPr>
      </w:pPr>
      <w:r>
        <w:rPr>
          <w:rFonts w:hint="eastAsia"/>
          <w:shd w:val="clear" w:color="auto" w:fill="FFFFFF"/>
        </w:rPr>
        <w:t>在探究SCL对抗白色念珠菌的功效时，Chaerim Kim等人发现SCL可以通过促进活性氧（</w:t>
      </w:r>
      <w:r>
        <w:rPr>
          <w:shd w:val="clear" w:color="auto" w:fill="FFFFFF"/>
        </w:rPr>
        <w:t>ROS</w:t>
      </w:r>
      <w:r>
        <w:rPr>
          <w:rFonts w:hint="eastAsia"/>
          <w:shd w:val="clear" w:color="auto" w:fill="FFFFFF"/>
        </w:rPr>
        <w:t>）生成、破坏线粒体的完整性以及上调参与细胞凋亡关键基因的表达，诱导类似细胞凋亡的过程，从而抑制白色念珠菌的生长</w:t>
      </w:r>
      <w:r>
        <w:rPr>
          <w:vertAlign w:val="superscript"/>
        </w:rPr>
        <w:fldChar w:fldCharType="begin"/>
      </w:r>
      <w:r>
        <w:rPr>
          <w:vertAlign w:val="superscript"/>
        </w:rPr>
        <w:instrText xml:space="preserve"> </w:instrText>
      </w:r>
      <w:r>
        <w:rPr>
          <w:rFonts w:hint="eastAsia"/>
          <w:vertAlign w:val="superscript"/>
        </w:rPr>
        <w:instrText xml:space="preserve">REF _Ref161268686 \r \h</w:instrText>
      </w:r>
      <w:r>
        <w:rPr>
          <w:vertAlign w:val="superscript"/>
        </w:rPr>
        <w:instrText xml:space="preserve">  \* MERGEFORMAT </w:instrText>
      </w:r>
      <w:r>
        <w:rPr>
          <w:vertAlign w:val="superscript"/>
        </w:rPr>
        <w:fldChar w:fldCharType="separate"/>
      </w:r>
      <w:r>
        <w:rPr>
          <w:vertAlign w:val="superscript"/>
        </w:rPr>
        <w:t>[15]</w:t>
      </w:r>
      <w:r>
        <w:rPr>
          <w:vertAlign w:val="superscript"/>
        </w:rPr>
        <w:fldChar w:fldCharType="end"/>
      </w:r>
      <w:r>
        <w:rPr>
          <w:rFonts w:hint="eastAsia"/>
          <w:shd w:val="clear" w:color="auto" w:fill="FFFFFF"/>
        </w:rPr>
        <w:t>。</w:t>
      </w:r>
    </w:p>
    <w:p>
      <w:pPr>
        <w:ind w:firstLine="420" w:firstLineChars="0"/>
      </w:pPr>
      <w:r>
        <w:rPr>
          <w:rFonts w:hint="eastAsia"/>
        </w:rPr>
        <w:t>在研究抑制金黄色葡萄球菌新药过程中，欧阳萍等人发现，在亚抑制状态下，</w:t>
      </w:r>
      <w:r>
        <w:rPr>
          <w:rFonts w:eastAsiaTheme="minorEastAsia"/>
          <w:color w:val="222222"/>
          <w:shd w:val="clear" w:color="auto" w:fill="FFFFFF"/>
        </w:rPr>
        <w:t>SCL</w:t>
      </w:r>
      <w:r>
        <w:rPr>
          <w:rFonts w:hint="eastAsia"/>
        </w:rPr>
        <w:t>可以显著减少金黄色葡萄球菌菌株USA300中</w:t>
      </w:r>
      <w:r>
        <w:t>α-</w:t>
      </w:r>
      <w:r>
        <w:rPr>
          <w:rFonts w:hint="eastAsia"/>
        </w:rPr>
        <w:t>溶血素的分泌浓度</w:t>
      </w:r>
      <w:r>
        <w:rPr>
          <w:vertAlign w:val="superscript"/>
        </w:rPr>
        <w:fldChar w:fldCharType="begin"/>
      </w:r>
      <w:r>
        <w:rPr>
          <w:vertAlign w:val="superscript"/>
        </w:rPr>
        <w:instrText xml:space="preserve"> </w:instrText>
      </w:r>
      <w:r>
        <w:rPr>
          <w:rFonts w:hint="eastAsia"/>
          <w:vertAlign w:val="superscript"/>
        </w:rPr>
        <w:instrText xml:space="preserve">REF _Ref161270406 \r \h</w:instrText>
      </w:r>
      <w:r>
        <w:rPr>
          <w:vertAlign w:val="superscript"/>
        </w:rPr>
        <w:instrText xml:space="preserve">  \* MERGEFORMAT </w:instrText>
      </w:r>
      <w:r>
        <w:rPr>
          <w:vertAlign w:val="superscript"/>
        </w:rPr>
        <w:fldChar w:fldCharType="separate"/>
      </w:r>
      <w:r>
        <w:rPr>
          <w:vertAlign w:val="superscript"/>
        </w:rPr>
        <w:t>[16]</w:t>
      </w:r>
      <w:r>
        <w:rPr>
          <w:vertAlign w:val="superscript"/>
        </w:rPr>
        <w:fldChar w:fldCharType="end"/>
      </w:r>
      <w:r>
        <w:rPr>
          <w:rFonts w:hint="eastAsia"/>
        </w:rPr>
        <w:t>。</w:t>
      </w:r>
    </w:p>
    <w:p>
      <w:pPr>
        <w:ind w:firstLine="420" w:firstLineChars="0"/>
      </w:pPr>
      <w:r>
        <w:rPr>
          <w:rFonts w:hint="eastAsia"/>
        </w:rPr>
        <w:t>在医药领域，SCL可被用于制备特定的抗菌药物，有助于解决抗生素耐药性问题</w:t>
      </w:r>
      <w:r>
        <w:rPr>
          <w:vertAlign w:val="superscript"/>
        </w:rPr>
        <w:fldChar w:fldCharType="begin"/>
      </w:r>
      <w:r>
        <w:rPr>
          <w:vertAlign w:val="superscript"/>
        </w:rPr>
        <w:instrText xml:space="preserve"> </w:instrText>
      </w:r>
      <w:r>
        <w:rPr>
          <w:rFonts w:hint="eastAsia"/>
          <w:vertAlign w:val="superscript"/>
        </w:rPr>
        <w:instrText xml:space="preserve">REF _Ref161311220 \r \h</w:instrText>
      </w:r>
      <w:r>
        <w:rPr>
          <w:vertAlign w:val="superscript"/>
        </w:rPr>
        <w:instrText xml:space="preserve">  \* MERGEFORMAT </w:instrText>
      </w:r>
      <w:r>
        <w:rPr>
          <w:vertAlign w:val="superscript"/>
        </w:rPr>
        <w:fldChar w:fldCharType="separate"/>
      </w:r>
      <w:r>
        <w:rPr>
          <w:vertAlign w:val="superscript"/>
        </w:rPr>
        <w:t>[17]</w:t>
      </w:r>
      <w:r>
        <w:rPr>
          <w:vertAlign w:val="superscript"/>
        </w:rPr>
        <w:fldChar w:fldCharType="end"/>
      </w:r>
      <w:r>
        <w:rPr>
          <w:rFonts w:hint="eastAsia"/>
        </w:rPr>
        <w:t>。</w:t>
      </w:r>
    </w:p>
    <w:p>
      <w:pPr>
        <w:pStyle w:val="4"/>
        <w:numPr>
          <w:ilvl w:val="2"/>
          <w:numId w:val="2"/>
        </w:numPr>
        <w:tabs>
          <w:tab w:val="clear" w:pos="420"/>
        </w:tabs>
        <w:rPr>
          <w:rFonts w:hint="eastAsia"/>
        </w:rPr>
      </w:pPr>
      <w:bookmarkStart w:id="37" w:name="_Toc5100"/>
      <w:r>
        <w:rPr>
          <w:rFonts w:hint="eastAsia"/>
        </w:rPr>
        <w:t xml:space="preserve"> </w:t>
      </w:r>
      <w:bookmarkStart w:id="38" w:name="_Toc164609444"/>
      <w:bookmarkStart w:id="39" w:name="_Toc12889"/>
      <w:r>
        <w:rPr>
          <w:rFonts w:hint="eastAsia"/>
        </w:rPr>
        <w:t>抗癌作用</w:t>
      </w:r>
      <w:bookmarkEnd w:id="37"/>
      <w:bookmarkEnd w:id="38"/>
      <w:bookmarkEnd w:id="39"/>
    </w:p>
    <w:p>
      <w:pPr>
        <w:ind w:firstLine="420" w:firstLineChars="0"/>
      </w:pPr>
      <w:r>
        <w:rPr>
          <w:rFonts w:hint="eastAsia"/>
        </w:rPr>
        <w:t>SCL作为一种单萜类化合物，具有干预恶性肿瘤细胞增殖活动的能力，可通过多元化的生物学通路来抑制肿瘤的生长与扩散</w:t>
      </w:r>
      <w:r>
        <w:rPr>
          <w:vertAlign w:val="superscript"/>
        </w:rPr>
        <w:fldChar w:fldCharType="begin"/>
      </w:r>
      <w:r>
        <w:rPr>
          <w:vertAlign w:val="superscript"/>
        </w:rPr>
        <w:instrText xml:space="preserve"> </w:instrText>
      </w:r>
      <w:r>
        <w:rPr>
          <w:rFonts w:hint="eastAsia"/>
          <w:vertAlign w:val="superscript"/>
        </w:rPr>
        <w:instrText xml:space="preserve">REF _Ref161316783 \r \h</w:instrText>
      </w:r>
      <w:r>
        <w:rPr>
          <w:vertAlign w:val="superscript"/>
        </w:rPr>
        <w:instrText xml:space="preserve">  \* MERGEFORMAT </w:instrText>
      </w:r>
      <w:r>
        <w:rPr>
          <w:vertAlign w:val="superscript"/>
        </w:rPr>
        <w:fldChar w:fldCharType="separate"/>
      </w:r>
      <w:r>
        <w:rPr>
          <w:vertAlign w:val="superscript"/>
        </w:rPr>
        <w:t>[18]</w:t>
      </w:r>
      <w:r>
        <w:rPr>
          <w:vertAlign w:val="superscript"/>
        </w:rPr>
        <w:fldChar w:fldCharType="end"/>
      </w:r>
      <w:r>
        <w:rPr>
          <w:rFonts w:hint="eastAsia"/>
        </w:rPr>
        <w:t>。Shokoofe Noori等人针对腹腔注射SCL对肿瘤体积缩减及细胞因子表达谱变化的影响进行了深入研究。结果显示，此类干预手段有望通过调节性T细胞的抑制作用来增强对癌症治疗效果</w:t>
      </w:r>
      <w:r>
        <w:rPr>
          <w:vertAlign w:val="superscript"/>
        </w:rPr>
        <w:fldChar w:fldCharType="begin"/>
      </w:r>
      <w:r>
        <w:rPr>
          <w:vertAlign w:val="superscript"/>
        </w:rPr>
        <w:instrText xml:space="preserve"> </w:instrText>
      </w:r>
      <w:r>
        <w:rPr>
          <w:rFonts w:hint="eastAsia"/>
          <w:vertAlign w:val="superscript"/>
        </w:rPr>
        <w:instrText xml:space="preserve">REF _Ref161322716 \r \h</w:instrText>
      </w:r>
      <w:r>
        <w:rPr>
          <w:vertAlign w:val="superscript"/>
        </w:rPr>
        <w:instrText xml:space="preserve">  \* MERGEFORMAT </w:instrText>
      </w:r>
      <w:r>
        <w:rPr>
          <w:vertAlign w:val="superscript"/>
        </w:rPr>
        <w:fldChar w:fldCharType="separate"/>
      </w:r>
      <w:r>
        <w:rPr>
          <w:vertAlign w:val="superscript"/>
        </w:rPr>
        <w:t>[19]</w:t>
      </w:r>
      <w:r>
        <w:rPr>
          <w:vertAlign w:val="superscript"/>
        </w:rPr>
        <w:fldChar w:fldCharType="end"/>
      </w:r>
      <w:r>
        <w:rPr>
          <w:rFonts w:hint="eastAsia"/>
        </w:rPr>
        <w:t>。研究还发现，SCL可以在一定程度上抑制卵巢肿瘤、食道癌和乳腺癌等多种类型的肿瘤细胞增殖</w:t>
      </w:r>
      <w:r>
        <w:rPr>
          <w:vertAlign w:val="superscript"/>
        </w:rPr>
        <w:fldChar w:fldCharType="begin"/>
      </w:r>
      <w:r>
        <w:rPr>
          <w:vertAlign w:val="superscript"/>
        </w:rPr>
        <w:instrText xml:space="preserve"> </w:instrText>
      </w:r>
      <w:r>
        <w:rPr>
          <w:rFonts w:hint="eastAsia"/>
          <w:vertAlign w:val="superscript"/>
        </w:rPr>
        <w:instrText xml:space="preserve">REF _Ref164090158 \r \h</w:instrText>
      </w:r>
      <w:r>
        <w:rPr>
          <w:vertAlign w:val="superscript"/>
        </w:rPr>
        <w:instrText xml:space="preserve">  \* MERGEFORMAT </w:instrText>
      </w:r>
      <w:r>
        <w:rPr>
          <w:vertAlign w:val="superscript"/>
        </w:rPr>
        <w:fldChar w:fldCharType="separate"/>
      </w:r>
      <w:r>
        <w:rPr>
          <w:vertAlign w:val="superscript"/>
        </w:rPr>
        <w:t>[20]</w:t>
      </w:r>
      <w:r>
        <w:rPr>
          <w:vertAlign w:val="superscript"/>
        </w:rPr>
        <w:fldChar w:fldCharType="end"/>
      </w:r>
      <w:r>
        <w:rPr>
          <w:vertAlign w:val="superscript"/>
        </w:rPr>
        <w:t xml:space="preserve">, </w:t>
      </w:r>
      <w:r>
        <w:rPr>
          <w:vertAlign w:val="superscript"/>
        </w:rPr>
        <w:fldChar w:fldCharType="begin"/>
      </w:r>
      <w:r>
        <w:rPr>
          <w:vertAlign w:val="superscript"/>
        </w:rPr>
        <w:instrText xml:space="preserve"> </w:instrText>
      </w:r>
      <w:r>
        <w:rPr>
          <w:rFonts w:hint="eastAsia"/>
          <w:vertAlign w:val="superscript"/>
        </w:rPr>
        <w:instrText xml:space="preserve">REF _Ref164090890 \r \h</w:instrText>
      </w:r>
      <w:r>
        <w:rPr>
          <w:vertAlign w:val="superscript"/>
        </w:rPr>
        <w:instrText xml:space="preserve">  \* MERGEFORMAT </w:instrText>
      </w:r>
      <w:r>
        <w:rPr>
          <w:vertAlign w:val="superscript"/>
        </w:rPr>
        <w:fldChar w:fldCharType="separate"/>
      </w:r>
      <w:r>
        <w:rPr>
          <w:vanish/>
          <w:vertAlign w:val="superscript"/>
        </w:rPr>
        <w:t>[21]</w:t>
      </w:r>
      <w:r>
        <w:rPr>
          <w:vertAlign w:val="superscript"/>
        </w:rPr>
        <w:fldChar w:fldCharType="end"/>
      </w:r>
      <w:r>
        <w:rPr>
          <w:rFonts w:hint="eastAsia"/>
        </w:rPr>
        <w:t>。</w:t>
      </w:r>
    </w:p>
    <w:p>
      <w:pPr>
        <w:pStyle w:val="4"/>
        <w:numPr>
          <w:ilvl w:val="2"/>
          <w:numId w:val="2"/>
        </w:numPr>
        <w:tabs>
          <w:tab w:val="clear" w:pos="420"/>
        </w:tabs>
        <w:rPr>
          <w:rFonts w:hint="eastAsia"/>
          <w:lang w:val="en-US" w:eastAsia="zh-CN"/>
        </w:rPr>
      </w:pPr>
      <w:bookmarkStart w:id="40" w:name="_Toc7986"/>
      <w:r>
        <w:rPr>
          <w:rFonts w:hint="eastAsia"/>
          <w:lang w:val="en-US" w:eastAsia="zh-CN"/>
        </w:rPr>
        <w:t xml:space="preserve"> </w:t>
      </w:r>
      <w:bookmarkStart w:id="41" w:name="_Toc164609445"/>
      <w:bookmarkStart w:id="42" w:name="_Toc19787"/>
      <w:r>
        <w:rPr>
          <w:rFonts w:hint="eastAsia"/>
          <w:lang w:val="en-US" w:eastAsia="zh-CN"/>
        </w:rPr>
        <w:t>抗氧化</w:t>
      </w:r>
      <w:bookmarkEnd w:id="40"/>
      <w:r>
        <w:rPr>
          <w:rFonts w:hint="eastAsia"/>
          <w:lang w:val="en-US" w:eastAsia="zh-CN"/>
        </w:rPr>
        <w:t>作用</w:t>
      </w:r>
      <w:bookmarkEnd w:id="41"/>
      <w:bookmarkEnd w:id="42"/>
    </w:p>
    <w:p>
      <w:pPr>
        <w:ind w:firstLine="420" w:firstLineChars="0"/>
      </w:pPr>
      <w:r>
        <w:rPr>
          <w:rFonts w:hint="eastAsia"/>
        </w:rPr>
        <w:t>SCL虽以抗菌、抗炎和抗肿瘤等作用闻名，但其在众多研究中同样展示了不容忽视的抗氧化潜能</w:t>
      </w:r>
      <w:r>
        <w:rPr>
          <w:vertAlign w:val="superscript"/>
        </w:rPr>
        <w:fldChar w:fldCharType="begin"/>
      </w:r>
      <w:r>
        <w:rPr>
          <w:vertAlign w:val="superscript"/>
        </w:rPr>
        <w:instrText xml:space="preserve"> </w:instrText>
      </w:r>
      <w:r>
        <w:rPr>
          <w:rFonts w:hint="eastAsia"/>
          <w:vertAlign w:val="superscript"/>
        </w:rPr>
        <w:instrText xml:space="preserve">REF _Ref164592021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t>。</w:t>
      </w:r>
      <w:r>
        <w:rPr>
          <w:rFonts w:hint="eastAsia"/>
        </w:rPr>
        <w:t>这意味着该化合物有能力捕捉自由基、抑制脂质过氧化进程、维系细胞膜的稳态，以及保护DNA免受氧化性损伤，从而在整体上对生物体健康构成保护屏障</w:t>
      </w:r>
      <w:r>
        <w:rPr>
          <w:vertAlign w:val="superscript"/>
        </w:rPr>
        <w:fldChar w:fldCharType="begin"/>
      </w:r>
      <w:r>
        <w:rPr>
          <w:vertAlign w:val="superscript"/>
        </w:rPr>
        <w:instrText xml:space="preserve"> </w:instrText>
      </w:r>
      <w:r>
        <w:rPr>
          <w:rFonts w:hint="eastAsia"/>
          <w:vertAlign w:val="superscript"/>
        </w:rPr>
        <w:instrText xml:space="preserve">REF _Ref164594055 \r \h</w:instrText>
      </w:r>
      <w:r>
        <w:rPr>
          <w:vertAlign w:val="superscript"/>
        </w:rPr>
        <w:instrText xml:space="preserve">  \* MERGEFORMAT </w:instrText>
      </w:r>
      <w:r>
        <w:rPr>
          <w:vertAlign w:val="superscript"/>
        </w:rPr>
        <w:fldChar w:fldCharType="separate"/>
      </w:r>
      <w:r>
        <w:rPr>
          <w:vertAlign w:val="superscript"/>
        </w:rPr>
        <w:t>[22]</w:t>
      </w:r>
      <w:r>
        <w:rPr>
          <w:vertAlign w:val="superscript"/>
        </w:rPr>
        <w:fldChar w:fldCharType="end"/>
      </w:r>
      <w:r>
        <w:rPr>
          <w:rFonts w:hint="eastAsia"/>
        </w:rPr>
        <w:t>。</w:t>
      </w:r>
      <w:bookmarkEnd w:id="30"/>
    </w:p>
    <w:p>
      <w:pPr>
        <w:pStyle w:val="2"/>
        <w:numPr>
          <w:ilvl w:val="0"/>
          <w:numId w:val="2"/>
        </w:numPr>
      </w:pPr>
      <w:bookmarkStart w:id="43" w:name="_Toc12812"/>
      <w:r>
        <w:rPr>
          <w:rFonts w:hint="eastAsia"/>
        </w:rPr>
        <w:t xml:space="preserve"> </w:t>
      </w:r>
      <w:bookmarkStart w:id="44" w:name="_Toc164609446"/>
      <w:bookmarkStart w:id="45" w:name="_Toc4992"/>
      <w:r>
        <w:rPr>
          <w:rFonts w:hint="eastAsia"/>
        </w:rPr>
        <w:t>肝纤维化的研究进展</w:t>
      </w:r>
      <w:bookmarkEnd w:id="43"/>
      <w:bookmarkEnd w:id="44"/>
      <w:bookmarkEnd w:id="45"/>
    </w:p>
    <w:p>
      <w:pPr>
        <w:pStyle w:val="3"/>
        <w:numPr>
          <w:ilvl w:val="1"/>
          <w:numId w:val="2"/>
        </w:numPr>
      </w:pPr>
      <w:bookmarkStart w:id="46" w:name="_Toc16300"/>
      <w:r>
        <w:rPr>
          <w:rFonts w:hint="eastAsia"/>
        </w:rPr>
        <w:t xml:space="preserve"> </w:t>
      </w:r>
      <w:bookmarkStart w:id="47" w:name="_Toc164609447"/>
      <w:bookmarkStart w:id="48" w:name="_Toc16501"/>
      <w:r>
        <w:rPr>
          <w:rFonts w:hint="eastAsia"/>
        </w:rPr>
        <w:t>概述</w:t>
      </w:r>
      <w:bookmarkEnd w:id="46"/>
      <w:bookmarkEnd w:id="47"/>
      <w:bookmarkEnd w:id="48"/>
    </w:p>
    <w:p>
      <w:pPr>
        <w:ind w:firstLine="420" w:firstLineChars="0"/>
      </w:pPr>
      <w:r>
        <w:rPr>
          <w:rFonts w:hint="eastAsia"/>
        </w:rPr>
        <w:t>肝纤维化是肝脏组织对持续性损伤的一种修复性反应，表现为正常肝脏细胞之间的胶原纤维、糖胺聚糖等细胞外基质（ECM）成分过度沉积和排列紊乱，形成瘢痕样结构</w:t>
      </w:r>
      <w:r>
        <w:rPr>
          <w:vertAlign w:val="superscript"/>
        </w:rPr>
        <w:fldChar w:fldCharType="begin"/>
      </w:r>
      <w:r>
        <w:rPr>
          <w:vertAlign w:val="superscript"/>
        </w:rPr>
        <w:instrText xml:space="preserve"> </w:instrText>
      </w:r>
      <w:r>
        <w:rPr>
          <w:rFonts w:hint="eastAsia"/>
          <w:vertAlign w:val="superscript"/>
        </w:rPr>
        <w:instrText xml:space="preserve">REF _Ref161308252 \r \h</w:instrText>
      </w:r>
      <w:r>
        <w:rPr>
          <w:vertAlign w:val="superscript"/>
        </w:rPr>
        <w:instrText xml:space="preserve">  \* MERGEFORMAT </w:instrText>
      </w:r>
      <w:r>
        <w:rPr>
          <w:vertAlign w:val="superscript"/>
        </w:rPr>
        <w:fldChar w:fldCharType="separate"/>
      </w:r>
      <w:r>
        <w:rPr>
          <w:vertAlign w:val="superscript"/>
        </w:rPr>
        <w:t>[23]</w:t>
      </w:r>
      <w:r>
        <w:rPr>
          <w:vertAlign w:val="superscript"/>
        </w:rPr>
        <w:fldChar w:fldCharType="end"/>
      </w:r>
      <w:r>
        <w:rPr>
          <w:rFonts w:hint="eastAsia"/>
        </w:rPr>
        <w:t>。肝纤维化初期是可逆的，但持续发展不治疗可能会发展为不可逆的肝硬化、肝细胞癌甚至肝衰竭</w:t>
      </w:r>
      <w:r>
        <w:rPr>
          <w:vertAlign w:val="superscript"/>
        </w:rPr>
        <w:fldChar w:fldCharType="begin"/>
      </w:r>
      <w:r>
        <w:rPr>
          <w:vertAlign w:val="superscript"/>
        </w:rPr>
        <w:instrText xml:space="preserve"> </w:instrText>
      </w:r>
      <w:r>
        <w:rPr>
          <w:rFonts w:hint="eastAsia"/>
          <w:vertAlign w:val="superscript"/>
        </w:rPr>
        <w:instrText xml:space="preserve">REF _Ref161308651 \r \h</w:instrText>
      </w:r>
      <w:r>
        <w:rPr>
          <w:vertAlign w:val="superscript"/>
        </w:rPr>
        <w:instrText xml:space="preserve">  \* MERGEFORMAT </w:instrText>
      </w:r>
      <w:r>
        <w:rPr>
          <w:vertAlign w:val="superscript"/>
        </w:rPr>
        <w:fldChar w:fldCharType="separate"/>
      </w:r>
      <w:r>
        <w:rPr>
          <w:vertAlign w:val="superscript"/>
        </w:rPr>
        <w:t>[24]</w:t>
      </w:r>
      <w:r>
        <w:rPr>
          <w:vertAlign w:val="superscript"/>
        </w:rPr>
        <w:fldChar w:fldCharType="end"/>
      </w:r>
      <w:r>
        <w:rPr>
          <w:rFonts w:hint="eastAsia"/>
        </w:rPr>
        <w:t>。</w:t>
      </w:r>
    </w:p>
    <w:p>
      <w:pPr>
        <w:ind w:firstLine="420" w:firstLineChars="0"/>
      </w:pPr>
      <w:r>
        <w:rPr>
          <w:rFonts w:hint="eastAsia"/>
        </w:rPr>
        <w:t>肝纤维化是慢性肝病发展到肝硬化乃至肝功能衰竭的一个关键中间阶段</w:t>
      </w:r>
      <w:r>
        <w:rPr>
          <w:vertAlign w:val="superscript"/>
        </w:rPr>
        <w:fldChar w:fldCharType="begin"/>
      </w:r>
      <w:r>
        <w:rPr>
          <w:vertAlign w:val="superscript"/>
        </w:rPr>
        <w:instrText xml:space="preserve"> </w:instrText>
      </w:r>
      <w:r>
        <w:rPr>
          <w:rFonts w:hint="eastAsia"/>
          <w:vertAlign w:val="superscript"/>
        </w:rPr>
        <w:instrText xml:space="preserve">REF _Ref161309794 \r \h</w:instrText>
      </w:r>
      <w:r>
        <w:rPr>
          <w:vertAlign w:val="superscript"/>
        </w:rPr>
        <w:instrText xml:space="preserve">  \* MERGEFORMAT </w:instrText>
      </w:r>
      <w:r>
        <w:rPr>
          <w:vertAlign w:val="superscript"/>
        </w:rPr>
        <w:fldChar w:fldCharType="separate"/>
      </w:r>
      <w:r>
        <w:rPr>
          <w:vertAlign w:val="superscript"/>
        </w:rPr>
        <w:t>[25]</w:t>
      </w:r>
      <w:r>
        <w:rPr>
          <w:vertAlign w:val="superscript"/>
        </w:rPr>
        <w:fldChar w:fldCharType="end"/>
      </w:r>
      <w:r>
        <w:rPr>
          <w:rFonts w:hint="eastAsia"/>
        </w:rPr>
        <w:t>。因此，针对肝纤维化的治疗是慢性肝病综合诊疗体系中不可或缺的一环，对于遏制病情恶化具有重大价值。</w:t>
      </w:r>
    </w:p>
    <w:p>
      <w:pPr>
        <w:pStyle w:val="3"/>
        <w:numPr>
          <w:ilvl w:val="1"/>
          <w:numId w:val="2"/>
        </w:numPr>
      </w:pPr>
      <w:bookmarkStart w:id="49" w:name="_Toc22450"/>
      <w:r>
        <w:rPr>
          <w:rFonts w:hint="eastAsia"/>
        </w:rPr>
        <w:t xml:space="preserve"> </w:t>
      </w:r>
      <w:bookmarkStart w:id="50" w:name="_Toc164609448"/>
      <w:bookmarkStart w:id="51" w:name="_Toc11467"/>
      <w:r>
        <w:rPr>
          <w:rFonts w:hint="eastAsia"/>
        </w:rPr>
        <w:t>病因</w:t>
      </w:r>
      <w:bookmarkEnd w:id="49"/>
      <w:bookmarkEnd w:id="50"/>
      <w:bookmarkEnd w:id="51"/>
    </w:p>
    <w:p>
      <w:pPr>
        <w:ind w:firstLine="420" w:firstLineChars="0"/>
      </w:pPr>
      <w:r>
        <w:rPr>
          <w:rFonts w:hint="eastAsia"/>
        </w:rPr>
        <w:t>肝纤维化的形成是由多种病因综合作用的结果，其中主要包括病毒感染、酒精性肝病、非酒精性脂肪性肝病、自身免疫性肝病、药物及毒物</w:t>
      </w:r>
      <w:r>
        <w:rPr>
          <w:rFonts w:hint="eastAsia"/>
          <w:lang w:val="en-US" w:eastAsia="zh-CN"/>
        </w:rPr>
        <w:t>以及</w:t>
      </w:r>
      <w:r>
        <w:rPr>
          <w:rFonts w:hint="eastAsia"/>
        </w:rPr>
        <w:t>胆汁淤积</w:t>
      </w:r>
      <w:r>
        <w:rPr>
          <w:rFonts w:hint="eastAsia"/>
          <w:lang w:val="en-US" w:eastAsia="zh-CN"/>
        </w:rPr>
        <w:t>性</w:t>
      </w:r>
      <w:r>
        <w:rPr>
          <w:rFonts w:hint="eastAsia"/>
        </w:rPr>
        <w:t>疾病等</w:t>
      </w:r>
      <w:r>
        <w:rPr>
          <w:vertAlign w:val="superscript"/>
        </w:rPr>
        <w:fldChar w:fldCharType="begin"/>
      </w:r>
      <w:r>
        <w:rPr>
          <w:vertAlign w:val="superscript"/>
        </w:rPr>
        <w:instrText xml:space="preserve"> </w:instrText>
      </w:r>
      <w:r>
        <w:rPr>
          <w:rFonts w:hint="eastAsia"/>
          <w:vertAlign w:val="superscript"/>
        </w:rPr>
        <w:instrText xml:space="preserve">REF _Ref164191460 \r \h</w:instrText>
      </w:r>
      <w:r>
        <w:rPr>
          <w:vertAlign w:val="superscript"/>
        </w:rPr>
        <w:instrText xml:space="preserve">  \* MERGEFORMAT </w:instrText>
      </w:r>
      <w:r>
        <w:rPr>
          <w:vertAlign w:val="superscript"/>
        </w:rPr>
        <w:fldChar w:fldCharType="separate"/>
      </w:r>
      <w:r>
        <w:rPr>
          <w:vertAlign w:val="superscript"/>
        </w:rPr>
        <w:t>[26]</w:t>
      </w:r>
      <w:r>
        <w:rPr>
          <w:vertAlign w:val="superscript"/>
        </w:rPr>
        <w:fldChar w:fldCharType="end"/>
      </w:r>
      <w:r>
        <w:rPr>
          <w:rFonts w:hint="eastAsia"/>
        </w:rPr>
        <w:t>。</w:t>
      </w:r>
    </w:p>
    <w:p>
      <w:r>
        <w:rPr>
          <w:rFonts w:hint="eastAsia"/>
        </w:rPr>
        <w:t>肝纤维化病因复杂，但其发展遵循了一个基本模式：肝细胞损伤诱发免疫炎症反应，进而激活肝星状细胞并引起ECM过量积累，最终导致肝脏结构和功能出现实质性损害</w:t>
      </w:r>
      <w:r>
        <w:rPr>
          <w:vertAlign w:val="superscript"/>
        </w:rPr>
        <w:fldChar w:fldCharType="begin"/>
      </w:r>
      <w:r>
        <w:rPr>
          <w:vertAlign w:val="superscript"/>
        </w:rPr>
        <w:instrText xml:space="preserve"> </w:instrText>
      </w:r>
      <w:r>
        <w:rPr>
          <w:rFonts w:hint="eastAsia"/>
          <w:vertAlign w:val="superscript"/>
        </w:rPr>
        <w:instrText xml:space="preserve">REF _Ref164191469 \r \h</w:instrText>
      </w:r>
      <w:r>
        <w:rPr>
          <w:vertAlign w:val="superscript"/>
        </w:rPr>
        <w:instrText xml:space="preserve">  \* MERGEFORMAT </w:instrText>
      </w:r>
      <w:r>
        <w:rPr>
          <w:vertAlign w:val="superscript"/>
        </w:rPr>
        <w:fldChar w:fldCharType="separate"/>
      </w:r>
      <w:r>
        <w:rPr>
          <w:vertAlign w:val="superscript"/>
        </w:rPr>
        <w:t>[27]</w:t>
      </w:r>
      <w:r>
        <w:rPr>
          <w:vertAlign w:val="superscript"/>
        </w:rPr>
        <w:fldChar w:fldCharType="end"/>
      </w:r>
      <w:r>
        <w:rPr>
          <w:rFonts w:hint="eastAsia"/>
        </w:rPr>
        <w:t>。这一连串反应构成了肝纤维化的基本病理变化，对各类病因引发的肝纤维化均具有普适性。</w:t>
      </w:r>
    </w:p>
    <w:p>
      <w:pPr>
        <w:pStyle w:val="4"/>
        <w:numPr>
          <w:ilvl w:val="2"/>
          <w:numId w:val="2"/>
        </w:numPr>
        <w:tabs>
          <w:tab w:val="clear" w:pos="420"/>
        </w:tabs>
        <w:rPr>
          <w:rFonts w:hint="eastAsia"/>
          <w:lang w:val="en-US" w:eastAsia="zh-CN"/>
        </w:rPr>
      </w:pPr>
      <w:bookmarkStart w:id="52" w:name="_Toc21150"/>
      <w:r>
        <w:rPr>
          <w:rFonts w:hint="eastAsia"/>
          <w:lang w:val="en-US" w:eastAsia="zh-CN"/>
        </w:rPr>
        <w:t xml:space="preserve"> </w:t>
      </w:r>
      <w:bookmarkStart w:id="53" w:name="_Toc164609449"/>
      <w:bookmarkStart w:id="54" w:name="_Toc30810"/>
      <w:r>
        <w:rPr>
          <w:rFonts w:hint="eastAsia"/>
          <w:lang w:val="en-US" w:eastAsia="zh-CN"/>
        </w:rPr>
        <w:t>病毒</w:t>
      </w:r>
      <w:bookmarkEnd w:id="52"/>
      <w:r>
        <w:rPr>
          <w:rFonts w:hint="eastAsia"/>
          <w:lang w:val="en-US" w:eastAsia="zh-CN"/>
        </w:rPr>
        <w:t>性肝炎</w:t>
      </w:r>
      <w:bookmarkEnd w:id="53"/>
      <w:bookmarkEnd w:id="54"/>
    </w:p>
    <w:p>
      <w:pPr>
        <w:ind w:firstLine="420" w:firstLineChars="0"/>
        <w:rPr>
          <w:rFonts w:ascii="宋体" w:hAnsi="宋体" w:cs="宋体"/>
        </w:rPr>
      </w:pPr>
      <w:r>
        <w:rPr>
          <w:rFonts w:hint="eastAsia"/>
          <w:shd w:val="clear" w:color="auto" w:fill="FFFFFF"/>
          <w:lang w:eastAsia="zh-CN"/>
        </w:rPr>
        <w:t>感染了甲型、乙型、丙型、丁型或戊型肝炎病毒后，病毒在体内复制而引发免疫介导的炎症反应，激活HCSs并促进ECM过度沉积，导致纤维化持续发生</w:t>
      </w:r>
      <w:r>
        <w:rPr>
          <w:vertAlign w:val="superscript"/>
        </w:rPr>
        <w:fldChar w:fldCharType="begin"/>
      </w:r>
      <w:r>
        <w:rPr>
          <w:vertAlign w:val="superscript"/>
        </w:rPr>
        <w:instrText xml:space="preserve"> REF _Ref161321603 \r \h  \* MERGEFORMAT </w:instrText>
      </w:r>
      <w:r>
        <w:rPr>
          <w:vertAlign w:val="superscript"/>
        </w:rPr>
        <w:fldChar w:fldCharType="separate"/>
      </w:r>
      <w:r>
        <w:rPr>
          <w:vertAlign w:val="superscript"/>
        </w:rPr>
        <w:t>[28]</w:t>
      </w:r>
      <w:r>
        <w:rPr>
          <w:vertAlign w:val="superscript"/>
        </w:rPr>
        <w:fldChar w:fldCharType="end"/>
      </w:r>
      <w:r>
        <w:rPr>
          <w:shd w:val="clear" w:color="auto" w:fill="FFFFFF"/>
        </w:rPr>
        <w:t>。</w:t>
      </w:r>
    </w:p>
    <w:p>
      <w:pPr>
        <w:pStyle w:val="4"/>
        <w:numPr>
          <w:ilvl w:val="2"/>
          <w:numId w:val="2"/>
        </w:numPr>
        <w:tabs>
          <w:tab w:val="clear" w:pos="420"/>
        </w:tabs>
        <w:rPr>
          <w:rFonts w:hint="eastAsia"/>
          <w:lang w:val="en-US" w:eastAsia="zh-CN"/>
        </w:rPr>
      </w:pPr>
      <w:bookmarkStart w:id="55" w:name="_Toc18382"/>
      <w:r>
        <w:rPr>
          <w:rFonts w:hint="eastAsia"/>
          <w:lang w:val="en-US" w:eastAsia="zh-CN"/>
        </w:rPr>
        <w:t xml:space="preserve"> </w:t>
      </w:r>
      <w:bookmarkStart w:id="56" w:name="_Toc164609450"/>
      <w:bookmarkStart w:id="57" w:name="_Toc25961"/>
      <w:r>
        <w:rPr>
          <w:rFonts w:hint="eastAsia"/>
          <w:lang w:val="en-US" w:eastAsia="zh-CN"/>
        </w:rPr>
        <w:t>酒精性肝病</w:t>
      </w:r>
      <w:bookmarkEnd w:id="55"/>
      <w:bookmarkEnd w:id="56"/>
      <w:bookmarkEnd w:id="57"/>
    </w:p>
    <w:p>
      <w:pPr>
        <w:ind w:firstLine="420" w:firstLineChars="0"/>
        <w:rPr>
          <w:shd w:val="clear" w:color="auto" w:fill="FFFFFF"/>
        </w:rPr>
      </w:pPr>
      <w:r>
        <w:rPr>
          <w:rFonts w:hint="eastAsia"/>
          <w:shd w:val="clear" w:color="auto" w:fill="FFFFFF"/>
        </w:rPr>
        <w:t>人体吸收酒精后，体内会积聚其代谢产物——乙醛。过量饮酒会导致乙醛浓度过高，对肝细胞构成潜在伤害并</w:t>
      </w:r>
      <w:r>
        <w:rPr>
          <w:shd w:val="clear" w:color="auto" w:fill="FFFFFF"/>
        </w:rPr>
        <w:t>诱发炎症和氧化反应，</w:t>
      </w:r>
      <w:r>
        <w:rPr>
          <w:rFonts w:hint="eastAsia"/>
          <w:shd w:val="clear" w:color="auto" w:fill="FFFFFF"/>
        </w:rPr>
        <w:t>进而引发中央静脉及窦周纤维化，</w:t>
      </w:r>
      <w:r>
        <w:rPr>
          <w:shd w:val="clear" w:color="auto" w:fill="FFFFFF"/>
        </w:rPr>
        <w:t>长期如此</w:t>
      </w:r>
      <w:r>
        <w:rPr>
          <w:rFonts w:hint="eastAsia"/>
          <w:shd w:val="clear" w:color="auto" w:fill="FFFFFF"/>
        </w:rPr>
        <w:t>可发展为</w:t>
      </w:r>
      <w:r>
        <w:rPr>
          <w:shd w:val="clear" w:color="auto" w:fill="FFFFFF"/>
        </w:rPr>
        <w:t>酒精性肝纤维化</w:t>
      </w:r>
      <w:r>
        <w:rPr>
          <w:rFonts w:hint="eastAsia"/>
          <w:shd w:val="clear" w:color="auto" w:fill="FFFFFF"/>
        </w:rPr>
        <w:t>乃至</w:t>
      </w:r>
      <w:r>
        <w:rPr>
          <w:shd w:val="clear" w:color="auto" w:fill="FFFFFF"/>
        </w:rPr>
        <w:t>肝硬化</w:t>
      </w:r>
      <w:r>
        <w:rPr>
          <w:vertAlign w:val="superscript"/>
        </w:rPr>
        <w:fldChar w:fldCharType="begin"/>
      </w:r>
      <w:r>
        <w:rPr>
          <w:vertAlign w:val="superscript"/>
        </w:rPr>
        <w:instrText xml:space="preserve"> REF _Ref162275031 \r \h  \* MERGEFORMAT </w:instrText>
      </w:r>
      <w:r>
        <w:rPr>
          <w:vertAlign w:val="superscript"/>
        </w:rPr>
        <w:fldChar w:fldCharType="separate"/>
      </w:r>
      <w:r>
        <w:rPr>
          <w:vertAlign w:val="superscript"/>
        </w:rPr>
        <w:t>[29]</w:t>
      </w:r>
      <w:r>
        <w:rPr>
          <w:vertAlign w:val="superscript"/>
        </w:rPr>
        <w:fldChar w:fldCharType="end"/>
      </w:r>
      <w:r>
        <w:rPr>
          <w:shd w:val="clear" w:color="auto" w:fill="FFFFFF"/>
        </w:rPr>
        <w:t>。</w:t>
      </w:r>
    </w:p>
    <w:p>
      <w:pPr>
        <w:pStyle w:val="4"/>
        <w:numPr>
          <w:ilvl w:val="2"/>
          <w:numId w:val="2"/>
        </w:numPr>
        <w:tabs>
          <w:tab w:val="clear" w:pos="420"/>
        </w:tabs>
        <w:rPr>
          <w:rFonts w:hint="eastAsia"/>
          <w:lang w:val="en-US" w:eastAsia="zh-CN"/>
        </w:rPr>
      </w:pPr>
      <w:bookmarkStart w:id="58" w:name="_Toc27030"/>
      <w:r>
        <w:rPr>
          <w:rFonts w:hint="eastAsia"/>
          <w:lang w:val="en-US" w:eastAsia="zh-CN"/>
        </w:rPr>
        <w:t xml:space="preserve"> </w:t>
      </w:r>
      <w:bookmarkStart w:id="59" w:name="_Toc164609451"/>
      <w:bookmarkStart w:id="60" w:name="_Toc27321"/>
      <w:r>
        <w:rPr>
          <w:rFonts w:hint="eastAsia"/>
          <w:lang w:val="en-US" w:eastAsia="zh-CN"/>
        </w:rPr>
        <w:t>非酒精性脂肪性肝病</w:t>
      </w:r>
      <w:bookmarkEnd w:id="58"/>
      <w:bookmarkEnd w:id="59"/>
      <w:bookmarkEnd w:id="60"/>
    </w:p>
    <w:p>
      <w:pPr>
        <w:ind w:firstLine="420" w:firstLineChars="0"/>
      </w:pPr>
      <w:r>
        <w:rPr>
          <w:rFonts w:hint="eastAsia" w:ascii="宋体" w:hAnsi="宋体" w:cs="宋体"/>
        </w:rPr>
        <w:t>非酒精性脂肪性肝病</w:t>
      </w:r>
      <w:r>
        <w:rPr>
          <w:rFonts w:hint="eastAsia"/>
        </w:rPr>
        <w:t>是一种除酒精和其他肝损伤因素影响下，脂肪在肝细胞内弥漫性的过度沉积而导致肝脏功能障碍的临床病理综合症</w:t>
      </w:r>
      <w:r>
        <w:rPr>
          <w:vertAlign w:val="superscript"/>
        </w:rPr>
        <w:fldChar w:fldCharType="begin"/>
      </w:r>
      <w:r>
        <w:rPr>
          <w:vertAlign w:val="superscript"/>
        </w:rPr>
        <w:instrText xml:space="preserve"> </w:instrText>
      </w:r>
      <w:r>
        <w:rPr>
          <w:rFonts w:hint="eastAsia"/>
          <w:vertAlign w:val="superscript"/>
        </w:rPr>
        <w:instrText xml:space="preserve">REF _Ref164191460 \r \h</w:instrText>
      </w:r>
      <w:r>
        <w:rPr>
          <w:vertAlign w:val="superscript"/>
        </w:rPr>
        <w:instrText xml:space="preserve">  \* MERGEFORMAT </w:instrText>
      </w:r>
      <w:r>
        <w:rPr>
          <w:vertAlign w:val="superscript"/>
        </w:rPr>
        <w:fldChar w:fldCharType="separate"/>
      </w:r>
      <w:r>
        <w:rPr>
          <w:vertAlign w:val="superscript"/>
        </w:rPr>
        <w:t>[26]</w:t>
      </w:r>
      <w:r>
        <w:rPr>
          <w:vertAlign w:val="superscript"/>
        </w:rPr>
        <w:fldChar w:fldCharType="end"/>
      </w:r>
      <w:r>
        <w:rPr>
          <w:rFonts w:hint="eastAsia"/>
        </w:rPr>
        <w:t>。脂肪在肝脏堆积引发脂毒性效应和氧化应激反应，释放大量活性氧而损伤肝细胞，激活肝星状细胞并大量分泌ECM从而导致肝纤维化</w:t>
      </w:r>
      <w:r>
        <w:rPr>
          <w:vertAlign w:val="superscript"/>
        </w:rPr>
        <w:fldChar w:fldCharType="begin"/>
      </w:r>
      <w:r>
        <w:rPr>
          <w:vertAlign w:val="superscript"/>
        </w:rPr>
        <w:instrText xml:space="preserve"> </w:instrText>
      </w:r>
      <w:r>
        <w:rPr>
          <w:rFonts w:hint="eastAsia"/>
          <w:vertAlign w:val="superscript"/>
        </w:rPr>
        <w:instrText xml:space="preserve">REF _Ref164091302 \r \h</w:instrText>
      </w:r>
      <w:r>
        <w:rPr>
          <w:vertAlign w:val="superscript"/>
        </w:rPr>
        <w:instrText xml:space="preserve">  \* MERGEFORMAT </w:instrText>
      </w:r>
      <w:r>
        <w:rPr>
          <w:vertAlign w:val="superscript"/>
        </w:rPr>
        <w:fldChar w:fldCharType="separate"/>
      </w:r>
      <w:r>
        <w:rPr>
          <w:vertAlign w:val="superscript"/>
        </w:rPr>
        <w:t>[30]</w:t>
      </w:r>
      <w:r>
        <w:rPr>
          <w:vertAlign w:val="superscript"/>
        </w:rPr>
        <w:fldChar w:fldCharType="end"/>
      </w:r>
      <w:r>
        <w:rPr>
          <w:rFonts w:hint="eastAsia"/>
        </w:rPr>
        <w:t>。</w:t>
      </w:r>
    </w:p>
    <w:p>
      <w:pPr>
        <w:pStyle w:val="4"/>
        <w:numPr>
          <w:ilvl w:val="2"/>
          <w:numId w:val="2"/>
        </w:numPr>
        <w:tabs>
          <w:tab w:val="clear" w:pos="420"/>
        </w:tabs>
        <w:rPr>
          <w:rFonts w:hint="eastAsia"/>
          <w:lang w:val="en-US" w:eastAsia="zh-CN"/>
        </w:rPr>
      </w:pPr>
      <w:bookmarkStart w:id="61" w:name="_Toc9895"/>
      <w:r>
        <w:rPr>
          <w:rFonts w:hint="eastAsia"/>
          <w:lang w:val="en-US" w:eastAsia="zh-CN"/>
        </w:rPr>
        <w:t xml:space="preserve"> </w:t>
      </w:r>
      <w:bookmarkStart w:id="62" w:name="_Toc164609452"/>
      <w:bookmarkStart w:id="63" w:name="_Toc575"/>
      <w:r>
        <w:rPr>
          <w:rFonts w:hint="eastAsia"/>
          <w:lang w:val="en-US" w:eastAsia="zh-CN"/>
        </w:rPr>
        <w:t>药物和毒素</w:t>
      </w:r>
      <w:bookmarkEnd w:id="61"/>
      <w:bookmarkEnd w:id="62"/>
      <w:bookmarkEnd w:id="63"/>
    </w:p>
    <w:p>
      <w:pPr>
        <w:ind w:firstLine="420" w:firstLineChars="0"/>
      </w:pPr>
      <w:r>
        <w:rPr>
          <w:rFonts w:hint="eastAsia"/>
        </w:rPr>
        <w:t>肝脏担当着药物代谢的核心角色，绝大多数药物需在肝脏执行氧化、还原及水解等一系列生物转化过程，增强水溶性以利于排泄，其中的某些药物及其代谢产物可能对肝脏产生毒性效应而诱发药物性肝病</w:t>
      </w:r>
      <w:r>
        <w:rPr>
          <w:vertAlign w:val="superscript"/>
        </w:rPr>
        <w:fldChar w:fldCharType="begin"/>
      </w:r>
      <w:r>
        <w:rPr>
          <w:vertAlign w:val="superscript"/>
        </w:rPr>
        <w:instrText xml:space="preserve"> </w:instrText>
      </w:r>
      <w:r>
        <w:rPr>
          <w:rFonts w:hint="eastAsia"/>
          <w:vertAlign w:val="superscript"/>
        </w:rPr>
        <w:instrText xml:space="preserve">REF _Ref164191677 \r \h</w:instrText>
      </w:r>
      <w:r>
        <w:rPr>
          <w:vertAlign w:val="superscript"/>
        </w:rPr>
        <w:instrText xml:space="preserve">  \* MERGEFORMAT </w:instrText>
      </w:r>
      <w:r>
        <w:rPr>
          <w:vertAlign w:val="superscript"/>
        </w:rPr>
        <w:fldChar w:fldCharType="separate"/>
      </w:r>
      <w:r>
        <w:rPr>
          <w:vertAlign w:val="superscript"/>
        </w:rPr>
        <w:t>[31]</w:t>
      </w:r>
      <w:r>
        <w:rPr>
          <w:vertAlign w:val="superscript"/>
        </w:rPr>
        <w:fldChar w:fldCharType="end"/>
      </w:r>
      <w:r>
        <w:rPr>
          <w:rFonts w:hint="eastAsia"/>
        </w:rPr>
        <w:t>。</w:t>
      </w:r>
    </w:p>
    <w:p>
      <w:pPr>
        <w:pStyle w:val="4"/>
        <w:numPr>
          <w:ilvl w:val="2"/>
          <w:numId w:val="2"/>
        </w:numPr>
        <w:tabs>
          <w:tab w:val="clear" w:pos="420"/>
        </w:tabs>
        <w:rPr>
          <w:rFonts w:hint="eastAsia"/>
          <w:lang w:val="en-US" w:eastAsia="zh-CN"/>
        </w:rPr>
      </w:pPr>
      <w:bookmarkStart w:id="64" w:name="_Toc21731"/>
      <w:r>
        <w:rPr>
          <w:rFonts w:hint="eastAsia"/>
          <w:lang w:val="en-US" w:eastAsia="zh-CN"/>
        </w:rPr>
        <w:t xml:space="preserve"> </w:t>
      </w:r>
      <w:bookmarkStart w:id="65" w:name="_Toc164609453"/>
      <w:bookmarkStart w:id="66" w:name="_Toc24190"/>
      <w:r>
        <w:rPr>
          <w:rFonts w:hint="eastAsia"/>
          <w:lang w:val="en-US" w:eastAsia="zh-CN"/>
        </w:rPr>
        <w:t>胆汁淤积</w:t>
      </w:r>
      <w:bookmarkEnd w:id="64"/>
      <w:bookmarkEnd w:id="65"/>
      <w:bookmarkEnd w:id="66"/>
    </w:p>
    <w:p>
      <w:pPr>
        <w:ind w:firstLine="420" w:firstLineChars="0"/>
      </w:pPr>
      <w:r>
        <w:rPr>
          <w:rFonts w:hint="eastAsia"/>
        </w:rPr>
        <w:t>胆汁流动受阻时会在肝脏内堆积，滞留的胆汁会对肝细胞产生毒性作用，造成肝细胞损伤并引起局部炎症，激活HSCs，长期以往会造成肝纤维化</w:t>
      </w:r>
      <w:r>
        <w:rPr>
          <w:vertAlign w:val="superscript"/>
        </w:rPr>
        <w:fldChar w:fldCharType="begin"/>
      </w:r>
      <w:r>
        <w:rPr>
          <w:vertAlign w:val="superscript"/>
        </w:rPr>
        <w:instrText xml:space="preserve"> </w:instrText>
      </w:r>
      <w:r>
        <w:rPr>
          <w:rFonts w:hint="eastAsia"/>
          <w:vertAlign w:val="superscript"/>
        </w:rPr>
        <w:instrText xml:space="preserve">REF _Ref163680140 \r \h</w:instrText>
      </w:r>
      <w:r>
        <w:rPr>
          <w:vertAlign w:val="superscript"/>
        </w:rPr>
        <w:instrText xml:space="preserve">  \* MERGEFORMAT </w:instrText>
      </w:r>
      <w:r>
        <w:rPr>
          <w:vertAlign w:val="superscript"/>
        </w:rPr>
        <w:fldChar w:fldCharType="separate"/>
      </w:r>
      <w:r>
        <w:rPr>
          <w:vertAlign w:val="superscript"/>
        </w:rPr>
        <w:t>[32]</w:t>
      </w:r>
      <w:r>
        <w:rPr>
          <w:vertAlign w:val="superscript"/>
        </w:rPr>
        <w:fldChar w:fldCharType="end"/>
      </w:r>
      <w:r>
        <w:rPr>
          <w:rFonts w:hint="eastAsia"/>
        </w:rPr>
        <w:t>。</w:t>
      </w:r>
    </w:p>
    <w:p>
      <w:pPr>
        <w:pStyle w:val="3"/>
        <w:numPr>
          <w:ilvl w:val="1"/>
          <w:numId w:val="2"/>
        </w:numPr>
      </w:pPr>
      <w:bookmarkStart w:id="67" w:name="_Toc29654"/>
      <w:r>
        <w:rPr>
          <w:rFonts w:hint="eastAsia"/>
        </w:rPr>
        <w:t xml:space="preserve"> </w:t>
      </w:r>
      <w:bookmarkStart w:id="68" w:name="_Toc164609454"/>
      <w:bookmarkStart w:id="69" w:name="_Toc21946"/>
      <w:r>
        <w:rPr>
          <w:rFonts w:hint="eastAsia"/>
        </w:rPr>
        <w:t>诊断</w:t>
      </w:r>
      <w:bookmarkEnd w:id="67"/>
      <w:bookmarkEnd w:id="68"/>
      <w:bookmarkEnd w:id="69"/>
    </w:p>
    <w:p>
      <w:pPr>
        <w:ind w:firstLine="420" w:firstLineChars="0"/>
        <w:rPr>
          <w:rFonts w:ascii="宋体" w:hAnsi="宋体" w:cs="宋体"/>
          <w:sz w:val="24"/>
          <w:szCs w:val="24"/>
        </w:rPr>
      </w:pPr>
      <w:r>
        <w:rPr>
          <w:rFonts w:hint="eastAsia"/>
        </w:rPr>
        <w:t>目前，可以将肝纤维化的诊断研究方法分为创伤性和非创伤性诊断</w:t>
      </w:r>
      <w:r>
        <w:rPr>
          <w:vertAlign w:val="superscript"/>
        </w:rPr>
        <w:fldChar w:fldCharType="begin"/>
      </w:r>
      <w:r>
        <w:rPr>
          <w:vertAlign w:val="superscript"/>
        </w:rPr>
        <w:instrText xml:space="preserve"> </w:instrText>
      </w:r>
      <w:r>
        <w:rPr>
          <w:rFonts w:hint="eastAsia"/>
          <w:vertAlign w:val="superscript"/>
        </w:rPr>
        <w:instrText xml:space="preserve">REF _Ref164609487 \r \h</w:instrText>
      </w:r>
      <w:r>
        <w:rPr>
          <w:vertAlign w:val="superscript"/>
        </w:rPr>
        <w:instrText xml:space="preserve">  \* MERGEFORMAT </w:instrText>
      </w:r>
      <w:r>
        <w:rPr>
          <w:vertAlign w:val="superscript"/>
        </w:rPr>
        <w:fldChar w:fldCharType="separate"/>
      </w:r>
      <w:r>
        <w:rPr>
          <w:vertAlign w:val="superscript"/>
        </w:rPr>
        <w:t>[33]</w:t>
      </w:r>
      <w:r>
        <w:rPr>
          <w:vertAlign w:val="superscript"/>
        </w:rPr>
        <w:fldChar w:fldCharType="end"/>
      </w:r>
      <w:r>
        <w:rPr>
          <w:rFonts w:hint="eastAsia"/>
        </w:rPr>
        <w:t>。在临床上的诊断方法主要有肝穿刺活检、</w:t>
      </w:r>
      <w:r>
        <w:rPr>
          <w:rFonts w:hint="eastAsia"/>
          <w:lang w:val="en-US" w:eastAsia="zh-CN"/>
        </w:rPr>
        <w:t>血清学和</w:t>
      </w:r>
      <w:r>
        <w:rPr>
          <w:rFonts w:hint="eastAsia"/>
        </w:rPr>
        <w:t>影像学检查等</w:t>
      </w:r>
      <w:r>
        <w:rPr>
          <w:vertAlign w:val="superscript"/>
        </w:rPr>
        <w:fldChar w:fldCharType="begin"/>
      </w:r>
      <w:r>
        <w:rPr>
          <w:vertAlign w:val="superscript"/>
        </w:rPr>
        <w:instrText xml:space="preserve"> </w:instrText>
      </w:r>
      <w:r>
        <w:rPr>
          <w:rFonts w:hint="eastAsia"/>
          <w:vertAlign w:val="superscript"/>
        </w:rPr>
        <w:instrText xml:space="preserve">REF _Ref161320737 \r \h</w:instrText>
      </w:r>
      <w:r>
        <w:rPr>
          <w:vertAlign w:val="superscript"/>
        </w:rPr>
        <w:instrText xml:space="preserve">  \* MERGEFORMAT </w:instrText>
      </w:r>
      <w:r>
        <w:rPr>
          <w:vertAlign w:val="superscript"/>
        </w:rPr>
        <w:fldChar w:fldCharType="separate"/>
      </w:r>
      <w:r>
        <w:rPr>
          <w:vertAlign w:val="superscript"/>
        </w:rPr>
        <w:t>[34]</w:t>
      </w:r>
      <w:r>
        <w:rPr>
          <w:vertAlign w:val="superscript"/>
        </w:rPr>
        <w:fldChar w:fldCharType="end"/>
      </w:r>
      <w:r>
        <w:rPr>
          <w:rFonts w:hint="eastAsia"/>
        </w:rPr>
        <w:t>。其中，肝穿刺活检被视为诊断的金标准</w:t>
      </w:r>
      <w:r>
        <w:rPr>
          <w:vertAlign w:val="superscript"/>
        </w:rPr>
        <w:fldChar w:fldCharType="begin"/>
      </w:r>
      <w:r>
        <w:rPr>
          <w:vertAlign w:val="superscript"/>
        </w:rPr>
        <w:instrText xml:space="preserve"> </w:instrText>
      </w:r>
      <w:r>
        <w:rPr>
          <w:rFonts w:hint="eastAsia"/>
          <w:vertAlign w:val="superscript"/>
        </w:rPr>
        <w:instrText xml:space="preserve">REF _Ref164191849 \r \h</w:instrText>
      </w:r>
      <w:r>
        <w:rPr>
          <w:vertAlign w:val="superscript"/>
        </w:rPr>
        <w:instrText xml:space="preserve">  \* MERGEFORMAT </w:instrText>
      </w:r>
      <w:r>
        <w:rPr>
          <w:vertAlign w:val="superscript"/>
        </w:rPr>
        <w:fldChar w:fldCharType="separate"/>
      </w:r>
      <w:r>
        <w:rPr>
          <w:vertAlign w:val="superscript"/>
        </w:rPr>
        <w:t>[35]</w:t>
      </w:r>
      <w:r>
        <w:rPr>
          <w:vertAlign w:val="superscript"/>
        </w:rPr>
        <w:fldChar w:fldCharType="end"/>
      </w:r>
      <w:r>
        <w:rPr>
          <w:rFonts w:hint="eastAsia"/>
        </w:rPr>
        <w:t>，但因其固有的创伤性、并发症风险以及难以多次活检的局限性</w:t>
      </w:r>
      <w:r>
        <w:rPr>
          <w:vertAlign w:val="superscript"/>
        </w:rPr>
        <w:fldChar w:fldCharType="begin"/>
      </w:r>
      <w:r>
        <w:rPr>
          <w:vertAlign w:val="superscript"/>
        </w:rPr>
        <w:instrText xml:space="preserve"> </w:instrText>
      </w:r>
      <w:r>
        <w:rPr>
          <w:rFonts w:hint="eastAsia"/>
          <w:vertAlign w:val="superscript"/>
        </w:rPr>
        <w:instrText xml:space="preserve">REF _Ref163831778 \r \h</w:instrText>
      </w:r>
      <w:r>
        <w:rPr>
          <w:vertAlign w:val="superscript"/>
        </w:rPr>
        <w:instrText xml:space="preserve">  \* MERGEFORMAT </w:instrText>
      </w:r>
      <w:r>
        <w:rPr>
          <w:vertAlign w:val="superscript"/>
        </w:rPr>
        <w:fldChar w:fldCharType="separate"/>
      </w:r>
      <w:r>
        <w:rPr>
          <w:vertAlign w:val="superscript"/>
        </w:rPr>
        <w:t>[36]</w:t>
      </w:r>
      <w:r>
        <w:rPr>
          <w:vertAlign w:val="superscript"/>
        </w:rPr>
        <w:fldChar w:fldCharType="end"/>
      </w:r>
      <w:r>
        <w:rPr>
          <w:rFonts w:hint="eastAsia"/>
        </w:rPr>
        <w:t>，血清学和影像学等非创伤性诊断正逐渐成为临床实践中的主流选择。目前临床上广泛采用影像技术结合血清学标志物的检测手段，有效解决了肝病患者病情演变过程中实时监测的需求，显著提升了肝病诊断的精确度与可靠性</w:t>
      </w:r>
      <w:r>
        <w:rPr>
          <w:vertAlign w:val="superscript"/>
        </w:rPr>
        <w:fldChar w:fldCharType="begin"/>
      </w:r>
      <w:r>
        <w:rPr>
          <w:vertAlign w:val="superscript"/>
        </w:rPr>
        <w:instrText xml:space="preserve"> </w:instrText>
      </w:r>
      <w:r>
        <w:rPr>
          <w:rFonts w:hint="eastAsia"/>
          <w:vertAlign w:val="superscript"/>
        </w:rPr>
        <w:instrText xml:space="preserve">REF _Ref164071728 \r \h</w:instrText>
      </w:r>
      <w:r>
        <w:rPr>
          <w:vertAlign w:val="superscript"/>
        </w:rPr>
        <w:instrText xml:space="preserve">  \* MERGEFORMAT </w:instrText>
      </w:r>
      <w:r>
        <w:rPr>
          <w:vertAlign w:val="superscript"/>
        </w:rPr>
        <w:fldChar w:fldCharType="separate"/>
      </w:r>
      <w:r>
        <w:rPr>
          <w:vertAlign w:val="superscript"/>
        </w:rPr>
        <w:t>[37]</w:t>
      </w:r>
      <w:r>
        <w:rPr>
          <w:vertAlign w:val="superscript"/>
        </w:rPr>
        <w:fldChar w:fldCharType="end"/>
      </w:r>
      <w:r>
        <w:rPr>
          <w:rFonts w:hint="eastAsia"/>
        </w:rPr>
        <w:t>。</w:t>
      </w:r>
    </w:p>
    <w:p>
      <w:pPr>
        <w:ind w:firstLine="420" w:firstLineChars="0"/>
      </w:pPr>
      <w:r>
        <w:rPr>
          <w:rFonts w:hint="eastAsia"/>
        </w:rPr>
        <w:t>肝纤维化初期仍存在着纤维降解机制，病变具有可逆性，早期诊断有助于及时干预并逆转纤维化进程，防止病情恶化至肝硬化阶段</w:t>
      </w:r>
      <w:r>
        <w:rPr>
          <w:vertAlign w:val="superscript"/>
        </w:rPr>
        <w:fldChar w:fldCharType="begin"/>
      </w:r>
      <w:r>
        <w:rPr>
          <w:vertAlign w:val="superscript"/>
        </w:rPr>
        <w:instrText xml:space="preserve"> </w:instrText>
      </w:r>
      <w:r>
        <w:rPr>
          <w:rFonts w:hint="eastAsia"/>
          <w:vertAlign w:val="superscript"/>
        </w:rPr>
        <w:instrText xml:space="preserve">REF _Ref163829674 \r \h</w:instrText>
      </w:r>
      <w:r>
        <w:rPr>
          <w:vertAlign w:val="superscript"/>
        </w:rPr>
        <w:instrText xml:space="preserve">  \* MERGEFORMAT </w:instrText>
      </w:r>
      <w:r>
        <w:rPr>
          <w:vertAlign w:val="superscript"/>
        </w:rPr>
        <w:fldChar w:fldCharType="separate"/>
      </w:r>
      <w:r>
        <w:rPr>
          <w:vertAlign w:val="superscript"/>
        </w:rPr>
        <w:t>[38]</w:t>
      </w:r>
      <w:r>
        <w:rPr>
          <w:vertAlign w:val="superscript"/>
        </w:rPr>
        <w:fldChar w:fldCharType="end"/>
      </w:r>
      <w:r>
        <w:rPr>
          <w:rFonts w:hint="eastAsia"/>
        </w:rPr>
        <w:t>。</w:t>
      </w:r>
    </w:p>
    <w:p>
      <w:pPr>
        <w:pStyle w:val="3"/>
        <w:numPr>
          <w:ilvl w:val="1"/>
          <w:numId w:val="2"/>
        </w:numPr>
      </w:pPr>
      <w:r>
        <w:rPr>
          <w:rFonts w:hint="eastAsia"/>
        </w:rPr>
        <w:t xml:space="preserve"> </w:t>
      </w:r>
      <w:bookmarkStart w:id="70" w:name="_Toc164609455"/>
      <w:bookmarkStart w:id="71" w:name="_Toc11979"/>
      <w:r>
        <w:rPr>
          <w:rFonts w:hint="eastAsia"/>
        </w:rPr>
        <w:t>临床表现</w:t>
      </w:r>
      <w:bookmarkEnd w:id="70"/>
      <w:bookmarkEnd w:id="71"/>
    </w:p>
    <w:p>
      <w:pPr>
        <w:ind w:firstLine="420" w:firstLineChars="0"/>
      </w:pPr>
      <w:r>
        <w:rPr>
          <w:rFonts w:hint="eastAsia"/>
        </w:rPr>
        <w:t>早期的肝纤维化缺乏明显的临床表现，但随着纤维化程度的加剧，可能出现疲劳乏力、消化不良及恶心呕吐等非特异性的症状</w:t>
      </w:r>
      <w:r>
        <w:rPr>
          <w:vertAlign w:val="superscript"/>
        </w:rPr>
        <w:fldChar w:fldCharType="begin"/>
      </w:r>
      <w:r>
        <w:rPr>
          <w:vertAlign w:val="superscript"/>
        </w:rPr>
        <w:instrText xml:space="preserve"> </w:instrText>
      </w:r>
      <w:r>
        <w:rPr>
          <w:rFonts w:hint="eastAsia"/>
          <w:vertAlign w:val="superscript"/>
        </w:rPr>
        <w:instrText xml:space="preserve">REF _Ref164092717 \r \h</w:instrText>
      </w:r>
      <w:r>
        <w:rPr>
          <w:vertAlign w:val="superscript"/>
        </w:rPr>
        <w:instrText xml:space="preserve">  \* MERGEFORMAT </w:instrText>
      </w:r>
      <w:r>
        <w:rPr>
          <w:vertAlign w:val="superscript"/>
        </w:rPr>
        <w:fldChar w:fldCharType="separate"/>
      </w:r>
      <w:r>
        <w:rPr>
          <w:vertAlign w:val="superscript"/>
        </w:rPr>
        <w:t>[39]</w:t>
      </w:r>
      <w:r>
        <w:rPr>
          <w:vertAlign w:val="superscript"/>
        </w:rPr>
        <w:fldChar w:fldCharType="end"/>
      </w:r>
      <w:r>
        <w:rPr>
          <w:rFonts w:hint="eastAsia"/>
          <w:vertAlign w:val="superscript"/>
        </w:rPr>
        <w:t>,</w:t>
      </w:r>
      <w:r>
        <w:rPr>
          <w:vertAlign w:val="superscript"/>
        </w:rPr>
        <w:fldChar w:fldCharType="begin"/>
      </w:r>
      <w:r>
        <w:rPr>
          <w:vertAlign w:val="superscript"/>
        </w:rPr>
        <w:instrText xml:space="preserve"> REF _Ref164093540 \r \h  \* MERGEFORMAT </w:instrText>
      </w:r>
      <w:r>
        <w:rPr>
          <w:vertAlign w:val="superscript"/>
        </w:rPr>
        <w:fldChar w:fldCharType="separate"/>
      </w:r>
      <w:r>
        <w:rPr>
          <w:vanish/>
          <w:vertAlign w:val="superscript"/>
        </w:rPr>
        <w:t>[40]</w:t>
      </w:r>
      <w:r>
        <w:rPr>
          <w:vertAlign w:val="superscript"/>
        </w:rPr>
        <w:fldChar w:fldCharType="end"/>
      </w:r>
      <w:r>
        <w:rPr>
          <w:rFonts w:hint="eastAsia"/>
        </w:rPr>
        <w:t>。肝纤维化晚期，肝脏功能严重受损，黄疸现象显现，表现为皮肤、黏膜黄染，尿液呈深茶色</w:t>
      </w:r>
      <w:r>
        <w:rPr>
          <w:vertAlign w:val="superscript"/>
        </w:rPr>
        <w:fldChar w:fldCharType="begin"/>
      </w:r>
      <w:r>
        <w:rPr>
          <w:vertAlign w:val="superscript"/>
        </w:rPr>
        <w:instrText xml:space="preserve"> </w:instrText>
      </w:r>
      <w:r>
        <w:rPr>
          <w:rFonts w:hint="eastAsia"/>
          <w:vertAlign w:val="superscript"/>
        </w:rPr>
        <w:instrText xml:space="preserve">REF _Ref164094946 \r \h</w:instrText>
      </w:r>
      <w:r>
        <w:rPr>
          <w:vertAlign w:val="superscript"/>
        </w:rPr>
        <w:instrText xml:space="preserve">  \* MERGEFORMAT </w:instrText>
      </w:r>
      <w:r>
        <w:rPr>
          <w:vertAlign w:val="superscript"/>
        </w:rPr>
        <w:fldChar w:fldCharType="separate"/>
      </w:r>
      <w:r>
        <w:rPr>
          <w:vertAlign w:val="superscript"/>
        </w:rPr>
        <w:t>[41]</w:t>
      </w:r>
      <w:r>
        <w:rPr>
          <w:vertAlign w:val="superscript"/>
        </w:rPr>
        <w:fldChar w:fldCharType="end"/>
      </w:r>
      <w:r>
        <w:rPr>
          <w:rFonts w:hint="eastAsia"/>
        </w:rPr>
        <w:t>。</w:t>
      </w:r>
    </w:p>
    <w:p>
      <w:pPr>
        <w:ind w:firstLine="420" w:firstLineChars="0"/>
      </w:pPr>
      <w:r>
        <w:rPr>
          <w:rFonts w:hint="eastAsia"/>
        </w:rPr>
        <w:t>在慢性肝病患者中，肝掌和蜘蛛痣是常见的临床表现</w:t>
      </w:r>
      <w:r>
        <w:rPr>
          <w:vertAlign w:val="superscript"/>
        </w:rPr>
        <w:fldChar w:fldCharType="begin"/>
      </w:r>
      <w:r>
        <w:rPr>
          <w:vertAlign w:val="superscript"/>
        </w:rPr>
        <w:instrText xml:space="preserve"> </w:instrText>
      </w:r>
      <w:r>
        <w:rPr>
          <w:rFonts w:hint="eastAsia"/>
          <w:vertAlign w:val="superscript"/>
        </w:rPr>
        <w:instrText xml:space="preserve">REF _Ref164093635 \r \h</w:instrText>
      </w:r>
      <w:r>
        <w:rPr>
          <w:vertAlign w:val="superscript"/>
        </w:rPr>
        <w:instrText xml:space="preserve">  \* MERGEFORMAT </w:instrText>
      </w:r>
      <w:r>
        <w:rPr>
          <w:vertAlign w:val="superscript"/>
        </w:rPr>
        <w:fldChar w:fldCharType="separate"/>
      </w:r>
      <w:r>
        <w:rPr>
          <w:vertAlign w:val="superscript"/>
        </w:rPr>
        <w:t>[42]</w:t>
      </w:r>
      <w:r>
        <w:rPr>
          <w:vertAlign w:val="superscript"/>
        </w:rPr>
        <w:fldChar w:fldCharType="end"/>
      </w:r>
      <w:r>
        <w:rPr>
          <w:rFonts w:hint="eastAsia"/>
        </w:rPr>
        <w:t>。此外，典型的临床特征还体现为牙龈出血、皮下淤血等症状，这些现象均与肝纤维化所致的肝脏凝血因子合成减少及继发的门静脉高压关系密切</w:t>
      </w:r>
      <w:r>
        <w:rPr>
          <w:vertAlign w:val="superscript"/>
        </w:rPr>
        <w:fldChar w:fldCharType="begin"/>
      </w:r>
      <w:r>
        <w:rPr>
          <w:vertAlign w:val="superscript"/>
        </w:rPr>
        <w:instrText xml:space="preserve"> </w:instrText>
      </w:r>
      <w:r>
        <w:rPr>
          <w:rFonts w:hint="eastAsia"/>
          <w:vertAlign w:val="superscript"/>
        </w:rPr>
        <w:instrText xml:space="preserve">REF _Ref164094806 \r \h</w:instrText>
      </w:r>
      <w:r>
        <w:rPr>
          <w:vertAlign w:val="superscript"/>
        </w:rPr>
        <w:instrText xml:space="preserve">  \* MERGEFORMAT </w:instrText>
      </w:r>
      <w:r>
        <w:rPr>
          <w:vertAlign w:val="superscript"/>
        </w:rPr>
        <w:fldChar w:fldCharType="separate"/>
      </w:r>
      <w:r>
        <w:rPr>
          <w:vertAlign w:val="superscript"/>
        </w:rPr>
        <w:t>[43]</w:t>
      </w:r>
      <w:r>
        <w:rPr>
          <w:vertAlign w:val="superscript"/>
        </w:rPr>
        <w:fldChar w:fldCharType="end"/>
      </w:r>
      <w:r>
        <w:rPr>
          <w:rFonts w:hint="eastAsia"/>
        </w:rPr>
        <w:t>。</w:t>
      </w:r>
    </w:p>
    <w:p>
      <w:pPr>
        <w:pStyle w:val="3"/>
        <w:numPr>
          <w:ilvl w:val="1"/>
          <w:numId w:val="2"/>
        </w:numPr>
      </w:pPr>
      <w:r>
        <w:rPr>
          <w:rFonts w:hint="eastAsia"/>
        </w:rPr>
        <w:t xml:space="preserve"> </w:t>
      </w:r>
      <w:bookmarkStart w:id="72" w:name="_Toc164609456"/>
      <w:bookmarkStart w:id="73" w:name="_Toc32569"/>
      <w:r>
        <w:rPr>
          <w:rFonts w:hint="eastAsia"/>
        </w:rPr>
        <w:t>治疗</w:t>
      </w:r>
      <w:bookmarkEnd w:id="72"/>
      <w:bookmarkEnd w:id="73"/>
    </w:p>
    <w:p>
      <w:pPr>
        <w:pStyle w:val="4"/>
        <w:numPr>
          <w:ilvl w:val="2"/>
          <w:numId w:val="2"/>
        </w:numPr>
        <w:tabs>
          <w:tab w:val="clear" w:pos="420"/>
        </w:tabs>
        <w:rPr>
          <w:rFonts w:hint="eastAsia"/>
          <w:lang w:val="en-US" w:eastAsia="zh-CN"/>
        </w:rPr>
      </w:pPr>
      <w:r>
        <w:rPr>
          <w:rFonts w:hint="eastAsia"/>
          <w:lang w:val="en-US" w:eastAsia="zh-CN"/>
        </w:rPr>
        <w:t xml:space="preserve"> </w:t>
      </w:r>
      <w:bookmarkStart w:id="74" w:name="_Toc164609457"/>
      <w:bookmarkStart w:id="75" w:name="_Toc29503"/>
      <w:r>
        <w:rPr>
          <w:rFonts w:hint="eastAsia"/>
          <w:lang w:val="en-US" w:eastAsia="zh-CN"/>
        </w:rPr>
        <w:t>中医治疗</w:t>
      </w:r>
      <w:bookmarkEnd w:id="74"/>
      <w:bookmarkEnd w:id="75"/>
    </w:p>
    <w:p>
      <w:pPr>
        <w:ind w:firstLine="420" w:firstLineChars="0"/>
      </w:pPr>
      <w:r>
        <w:rPr>
          <w:rFonts w:hint="eastAsia"/>
        </w:rPr>
        <w:t>肝纤维化在中医理论中对应于“胁痛”、“积聚”和“黄疸”等病候范畴，病理本质上属于“本虚标实”</w:t>
      </w:r>
      <w:r>
        <w:rPr>
          <w:vertAlign w:val="superscript"/>
        </w:rPr>
        <w:fldChar w:fldCharType="begin"/>
      </w:r>
      <w:r>
        <w:rPr>
          <w:vertAlign w:val="superscript"/>
        </w:rPr>
        <w:instrText xml:space="preserve"> </w:instrText>
      </w:r>
      <w:r>
        <w:rPr>
          <w:rFonts w:hint="eastAsia"/>
          <w:vertAlign w:val="superscript"/>
        </w:rPr>
        <w:instrText xml:space="preserve">REF _Ref164192055 \r \h</w:instrText>
      </w:r>
      <w:r>
        <w:rPr>
          <w:vertAlign w:val="superscript"/>
        </w:rPr>
        <w:instrText xml:space="preserve">  \* MERGEFORMAT </w:instrText>
      </w:r>
      <w:r>
        <w:rPr>
          <w:vertAlign w:val="superscript"/>
        </w:rPr>
        <w:fldChar w:fldCharType="separate"/>
      </w:r>
      <w:r>
        <w:rPr>
          <w:vertAlign w:val="superscript"/>
        </w:rPr>
        <w:t>[44]</w:t>
      </w:r>
      <w:r>
        <w:rPr>
          <w:vertAlign w:val="superscript"/>
        </w:rPr>
        <w:fldChar w:fldCharType="end"/>
      </w:r>
      <w:r>
        <w:rPr>
          <w:rFonts w:hint="eastAsia"/>
        </w:rPr>
        <w:t>。在中医肝纤维化治疗中，常运用丹参</w:t>
      </w:r>
      <w:r>
        <w:rPr>
          <w:vertAlign w:val="superscript"/>
        </w:rPr>
        <w:fldChar w:fldCharType="begin"/>
      </w:r>
      <w:r>
        <w:rPr>
          <w:vertAlign w:val="superscript"/>
        </w:rPr>
        <w:instrText xml:space="preserve"> </w:instrText>
      </w:r>
      <w:r>
        <w:rPr>
          <w:rFonts w:hint="eastAsia"/>
          <w:vertAlign w:val="superscript"/>
        </w:rPr>
        <w:instrText xml:space="preserve">REF _Ref164192063 \r \h</w:instrText>
      </w:r>
      <w:r>
        <w:rPr>
          <w:vertAlign w:val="superscript"/>
        </w:rPr>
        <w:instrText xml:space="preserve">  \* MERGEFORMAT </w:instrText>
      </w:r>
      <w:r>
        <w:rPr>
          <w:vertAlign w:val="superscript"/>
        </w:rPr>
        <w:fldChar w:fldCharType="separate"/>
      </w:r>
      <w:r>
        <w:rPr>
          <w:vertAlign w:val="superscript"/>
        </w:rPr>
        <w:t>[45]</w:t>
      </w:r>
      <w:r>
        <w:rPr>
          <w:vertAlign w:val="superscript"/>
        </w:rPr>
        <w:fldChar w:fldCharType="end"/>
      </w:r>
      <w:r>
        <w:rPr>
          <w:rFonts w:hint="eastAsia"/>
        </w:rPr>
        <w:t>、柴胡</w:t>
      </w:r>
      <w:r>
        <w:rPr>
          <w:vertAlign w:val="superscript"/>
        </w:rPr>
        <w:fldChar w:fldCharType="begin"/>
      </w:r>
      <w:r>
        <w:rPr>
          <w:vertAlign w:val="superscript"/>
        </w:rPr>
        <w:instrText xml:space="preserve"> </w:instrText>
      </w:r>
      <w:r>
        <w:rPr>
          <w:rFonts w:hint="eastAsia"/>
          <w:vertAlign w:val="superscript"/>
        </w:rPr>
        <w:instrText xml:space="preserve">REF _Ref164192072 \r \h</w:instrText>
      </w:r>
      <w:r>
        <w:rPr>
          <w:vertAlign w:val="superscript"/>
        </w:rPr>
        <w:instrText xml:space="preserve">  \* MERGEFORMAT </w:instrText>
      </w:r>
      <w:r>
        <w:rPr>
          <w:vertAlign w:val="superscript"/>
        </w:rPr>
        <w:fldChar w:fldCharType="separate"/>
      </w:r>
      <w:r>
        <w:rPr>
          <w:vertAlign w:val="superscript"/>
        </w:rPr>
        <w:t>[46]</w:t>
      </w:r>
      <w:r>
        <w:rPr>
          <w:vertAlign w:val="superscript"/>
        </w:rPr>
        <w:fldChar w:fldCharType="end"/>
      </w:r>
      <w:r>
        <w:rPr>
          <w:rFonts w:hint="eastAsia"/>
        </w:rPr>
        <w:t>、茵陈</w:t>
      </w:r>
      <w:r>
        <w:rPr>
          <w:vertAlign w:val="superscript"/>
        </w:rPr>
        <w:fldChar w:fldCharType="begin"/>
      </w:r>
      <w:r>
        <w:rPr>
          <w:vertAlign w:val="superscript"/>
        </w:rPr>
        <w:instrText xml:space="preserve"> </w:instrText>
      </w:r>
      <w:r>
        <w:rPr>
          <w:rFonts w:hint="eastAsia"/>
          <w:vertAlign w:val="superscript"/>
        </w:rPr>
        <w:instrText xml:space="preserve">REF _Ref7944 \r \h</w:instrText>
      </w:r>
      <w:r>
        <w:rPr>
          <w:vertAlign w:val="superscript"/>
        </w:rPr>
        <w:instrText xml:space="preserve">  \* MERGEFORMAT </w:instrText>
      </w:r>
      <w:r>
        <w:rPr>
          <w:vertAlign w:val="superscript"/>
        </w:rPr>
        <w:fldChar w:fldCharType="separate"/>
      </w:r>
      <w:r>
        <w:rPr>
          <w:vertAlign w:val="superscript"/>
        </w:rPr>
        <w:t>[47]</w:t>
      </w:r>
      <w:r>
        <w:rPr>
          <w:vertAlign w:val="superscript"/>
        </w:rPr>
        <w:fldChar w:fldCharType="end"/>
      </w:r>
      <w:r>
        <w:rPr>
          <w:rFonts w:hint="eastAsia"/>
        </w:rPr>
        <w:t>等具有活血化瘀、疏肝健脾、清热利湿等功效的传统中药复方，通过调节机体免疫、抑制炎症反应以及减少ECM沉积等途径以延缓或逆转肝纤维化进程</w:t>
      </w:r>
      <w:r>
        <w:rPr>
          <w:vertAlign w:val="superscript"/>
        </w:rPr>
        <w:fldChar w:fldCharType="begin"/>
      </w:r>
      <w:r>
        <w:rPr>
          <w:vertAlign w:val="superscript"/>
        </w:rPr>
        <w:instrText xml:space="preserve"> </w:instrText>
      </w:r>
      <w:r>
        <w:rPr>
          <w:rFonts w:hint="eastAsia"/>
          <w:vertAlign w:val="superscript"/>
        </w:rPr>
        <w:instrText xml:space="preserve">REF _Ref164192170 \r \h</w:instrText>
      </w:r>
      <w:r>
        <w:rPr>
          <w:vertAlign w:val="superscript"/>
        </w:rPr>
        <w:instrText xml:space="preserve">  \* MERGEFORMAT </w:instrText>
      </w:r>
      <w:r>
        <w:rPr>
          <w:vertAlign w:val="superscript"/>
        </w:rPr>
        <w:fldChar w:fldCharType="separate"/>
      </w:r>
      <w:r>
        <w:rPr>
          <w:vertAlign w:val="superscript"/>
        </w:rPr>
        <w:t>[48]</w:t>
      </w:r>
      <w:r>
        <w:rPr>
          <w:vertAlign w:val="superscript"/>
        </w:rPr>
        <w:fldChar w:fldCharType="end"/>
      </w:r>
      <w:r>
        <w:rPr>
          <w:rFonts w:hint="eastAsia"/>
        </w:rPr>
        <w:t>。此外，部分中药单体如甘草酸</w:t>
      </w:r>
      <w:r>
        <w:rPr>
          <w:vertAlign w:val="superscript"/>
        </w:rPr>
        <w:fldChar w:fldCharType="begin"/>
      </w:r>
      <w:r>
        <w:rPr>
          <w:vertAlign w:val="superscript"/>
        </w:rPr>
        <w:instrText xml:space="preserve"> </w:instrText>
      </w:r>
      <w:r>
        <w:rPr>
          <w:rFonts w:hint="eastAsia"/>
          <w:vertAlign w:val="superscript"/>
        </w:rPr>
        <w:instrText xml:space="preserve">REF _Ref164192177 \r \h</w:instrText>
      </w:r>
      <w:r>
        <w:rPr>
          <w:vertAlign w:val="superscript"/>
        </w:rPr>
        <w:instrText xml:space="preserve">  \* MERGEFORMAT </w:instrText>
      </w:r>
      <w:r>
        <w:rPr>
          <w:vertAlign w:val="superscript"/>
        </w:rPr>
        <w:fldChar w:fldCharType="separate"/>
      </w:r>
      <w:r>
        <w:rPr>
          <w:vertAlign w:val="superscript"/>
        </w:rPr>
        <w:t>[49]</w:t>
      </w:r>
      <w:r>
        <w:rPr>
          <w:vertAlign w:val="superscript"/>
        </w:rPr>
        <w:fldChar w:fldCharType="end"/>
      </w:r>
      <w:r>
        <w:rPr>
          <w:rFonts w:hint="eastAsia"/>
        </w:rPr>
        <w:t>、水飞蓟宾</w:t>
      </w:r>
      <w:r>
        <w:rPr>
          <w:vertAlign w:val="superscript"/>
        </w:rPr>
        <w:fldChar w:fldCharType="begin"/>
      </w:r>
      <w:r>
        <w:rPr>
          <w:vertAlign w:val="superscript"/>
        </w:rPr>
        <w:instrText xml:space="preserve"> </w:instrText>
      </w:r>
      <w:r>
        <w:rPr>
          <w:rFonts w:hint="eastAsia"/>
          <w:vertAlign w:val="superscript"/>
        </w:rPr>
        <w:instrText xml:space="preserve">REF _Ref164192184 \r \h</w:instrText>
      </w:r>
      <w:r>
        <w:rPr>
          <w:vertAlign w:val="superscript"/>
        </w:rPr>
        <w:instrText xml:space="preserve">  \* MERGEFORMAT </w:instrText>
      </w:r>
      <w:r>
        <w:rPr>
          <w:vertAlign w:val="superscript"/>
        </w:rPr>
        <w:fldChar w:fldCharType="separate"/>
      </w:r>
      <w:r>
        <w:rPr>
          <w:vertAlign w:val="superscript"/>
        </w:rPr>
        <w:t>[50]</w:t>
      </w:r>
      <w:r>
        <w:rPr>
          <w:vertAlign w:val="superscript"/>
        </w:rPr>
        <w:fldChar w:fldCharType="end"/>
      </w:r>
      <w:r>
        <w:rPr>
          <w:rFonts w:hint="eastAsia"/>
        </w:rPr>
        <w:t>等也被证实具有抗纤维化作用，丰富了临床治疗手段。整体来看，中医药凭借多途径、多靶点的整合调节优势，在抗肝纤维化领域彰显独特的治疗价值和广阔的应用潜力</w:t>
      </w:r>
      <w:r>
        <w:rPr>
          <w:vertAlign w:val="superscript"/>
        </w:rPr>
        <w:fldChar w:fldCharType="begin"/>
      </w:r>
      <w:r>
        <w:rPr>
          <w:vertAlign w:val="superscript"/>
        </w:rPr>
        <w:instrText xml:space="preserve"> </w:instrText>
      </w:r>
      <w:r>
        <w:rPr>
          <w:rFonts w:hint="eastAsia"/>
          <w:vertAlign w:val="superscript"/>
        </w:rPr>
        <w:instrText xml:space="preserve">REF _Ref164192192 \r \h</w:instrText>
      </w:r>
      <w:r>
        <w:rPr>
          <w:vertAlign w:val="superscript"/>
        </w:rPr>
        <w:instrText xml:space="preserve">  \* MERGEFORMAT </w:instrText>
      </w:r>
      <w:r>
        <w:rPr>
          <w:vertAlign w:val="superscript"/>
        </w:rPr>
        <w:fldChar w:fldCharType="separate"/>
      </w:r>
      <w:r>
        <w:rPr>
          <w:vertAlign w:val="superscript"/>
        </w:rPr>
        <w:t>[51]</w:t>
      </w:r>
      <w:r>
        <w:rPr>
          <w:vertAlign w:val="superscript"/>
        </w:rPr>
        <w:fldChar w:fldCharType="end"/>
      </w:r>
      <w:r>
        <w:rPr>
          <w:rFonts w:hint="eastAsia"/>
        </w:rPr>
        <w:t>。</w:t>
      </w:r>
    </w:p>
    <w:p>
      <w:pPr>
        <w:pStyle w:val="4"/>
        <w:numPr>
          <w:ilvl w:val="2"/>
          <w:numId w:val="2"/>
        </w:numPr>
        <w:tabs>
          <w:tab w:val="clear" w:pos="420"/>
        </w:tabs>
        <w:rPr>
          <w:rFonts w:hint="eastAsia"/>
          <w:lang w:val="en-US" w:eastAsia="zh-CN"/>
        </w:rPr>
      </w:pPr>
      <w:r>
        <w:rPr>
          <w:rFonts w:hint="eastAsia"/>
          <w:lang w:val="en-US" w:eastAsia="zh-CN"/>
        </w:rPr>
        <w:t xml:space="preserve"> </w:t>
      </w:r>
      <w:bookmarkStart w:id="76" w:name="_Toc164609458"/>
      <w:bookmarkStart w:id="77" w:name="_Toc16046"/>
      <w:r>
        <w:rPr>
          <w:rFonts w:hint="eastAsia"/>
          <w:lang w:val="en-US" w:eastAsia="zh-CN"/>
        </w:rPr>
        <w:t>西医治疗</w:t>
      </w:r>
      <w:bookmarkEnd w:id="76"/>
      <w:bookmarkEnd w:id="77"/>
    </w:p>
    <w:p>
      <w:pPr>
        <w:ind w:firstLine="420" w:firstLineChars="0"/>
      </w:pPr>
      <w:r>
        <w:t>西医治疗肝纤维化以病因治疗为</w:t>
      </w:r>
      <w:r>
        <w:rPr>
          <w:rFonts w:hint="eastAsia"/>
        </w:rPr>
        <w:t>核心</w:t>
      </w:r>
      <w:r>
        <w:t>。对病毒性肝炎运用抗病毒药物，酒精性肝病强调戒酒与营养支持，非酒精性脂肪性肝病则着重于生活方式调整。</w:t>
      </w:r>
      <w:r>
        <w:rPr>
          <w:rFonts w:hint="eastAsia"/>
          <w:lang w:val="en-US" w:eastAsia="zh-CN"/>
        </w:rPr>
        <w:t>目前</w:t>
      </w:r>
      <w:r>
        <w:rPr>
          <w:rFonts w:hint="eastAsia"/>
        </w:rPr>
        <w:t>针对</w:t>
      </w:r>
      <w:r>
        <w:t>抗纤维化治疗特效药物较少</w:t>
      </w:r>
      <w:r>
        <w:rPr>
          <w:rFonts w:hint="eastAsia"/>
          <w:lang w:eastAsia="zh-CN"/>
        </w:rPr>
        <w:t>，</w:t>
      </w:r>
      <w:r>
        <w:rPr>
          <w:rFonts w:hint="eastAsia"/>
          <w:lang w:val="en-US" w:eastAsia="zh-CN"/>
        </w:rPr>
        <w:t>如托拉塞米和丙硫氧吡啶等</w:t>
      </w:r>
      <w:r>
        <w:t>，</w:t>
      </w:r>
      <w:r>
        <w:rPr>
          <w:rFonts w:hint="eastAsia"/>
          <w:lang w:val="en-US" w:eastAsia="zh-CN"/>
        </w:rPr>
        <w:t>还</w:t>
      </w:r>
      <w:r>
        <w:t>有一些药物如熊去氧胆酸、多烯磷脂酰胆碱等</w:t>
      </w:r>
      <w:r>
        <w:rPr>
          <w:rFonts w:hint="eastAsia"/>
          <w:lang w:eastAsia="zh-CN"/>
        </w:rPr>
        <w:t>也</w:t>
      </w:r>
      <w:r>
        <w:t>显示</w:t>
      </w:r>
      <w:r>
        <w:rPr>
          <w:rFonts w:hint="eastAsia"/>
        </w:rPr>
        <w:t>抗纤维化</w:t>
      </w:r>
      <w:r>
        <w:t>效果，通过抑制肝星状细胞激活、降低氧化应激等机制延缓纤维化进程</w:t>
      </w:r>
      <w:r>
        <w:rPr>
          <w:vertAlign w:val="superscript"/>
        </w:rPr>
        <w:fldChar w:fldCharType="begin"/>
      </w:r>
      <w:r>
        <w:rPr>
          <w:vertAlign w:val="superscript"/>
        </w:rPr>
        <w:instrText xml:space="preserve"> REF _Ref164192335 \r \h  \* MERGEFORMAT </w:instrText>
      </w:r>
      <w:r>
        <w:rPr>
          <w:vertAlign w:val="superscript"/>
        </w:rPr>
        <w:fldChar w:fldCharType="separate"/>
      </w:r>
      <w:r>
        <w:rPr>
          <w:vertAlign w:val="superscript"/>
        </w:rPr>
        <w:t>[52]</w:t>
      </w:r>
      <w:r>
        <w:rPr>
          <w:vertAlign w:val="superscript"/>
        </w:rPr>
        <w:fldChar w:fldCharType="end"/>
      </w:r>
      <w:r>
        <w:t>。</w:t>
      </w:r>
      <w:r>
        <w:rPr>
          <w:rFonts w:hint="eastAsia"/>
        </w:rPr>
        <w:t>此外</w:t>
      </w:r>
      <w:r>
        <w:t>，科研</w:t>
      </w:r>
      <w:r>
        <w:rPr>
          <w:rFonts w:hint="eastAsia"/>
        </w:rPr>
        <w:t>界</w:t>
      </w:r>
      <w:r>
        <w:t>正</w:t>
      </w:r>
      <w:r>
        <w:rPr>
          <w:rFonts w:hint="eastAsia"/>
        </w:rPr>
        <w:t>着力开发</w:t>
      </w:r>
      <w:r>
        <w:t>针对纤维化关键信号通路</w:t>
      </w:r>
      <w:r>
        <w:rPr>
          <w:rFonts w:hint="eastAsia"/>
        </w:rPr>
        <w:t>（</w:t>
      </w:r>
      <w:r>
        <w:t>如TGF-β</w:t>
      </w:r>
      <w:r>
        <w:rPr>
          <w:rFonts w:hint="eastAsia"/>
        </w:rPr>
        <w:t>1</w:t>
      </w:r>
      <w:r>
        <w:t>/Smad</w:t>
      </w:r>
      <w:r>
        <w:rPr>
          <w:rFonts w:hint="eastAsia"/>
        </w:rPr>
        <w:t>）</w:t>
      </w:r>
      <w:r>
        <w:t>的</w:t>
      </w:r>
      <w:r>
        <w:rPr>
          <w:rFonts w:hint="eastAsia"/>
        </w:rPr>
        <w:t>创新</w:t>
      </w:r>
      <w:r>
        <w:t>药物，以</w:t>
      </w:r>
      <w:r>
        <w:rPr>
          <w:rFonts w:hint="eastAsia"/>
        </w:rPr>
        <w:t>求</w:t>
      </w:r>
      <w:r>
        <w:t>更有效地</w:t>
      </w:r>
      <w:r>
        <w:rPr>
          <w:rFonts w:hint="eastAsia"/>
        </w:rPr>
        <w:t>遏制</w:t>
      </w:r>
      <w:r>
        <w:t>纤维化</w:t>
      </w:r>
      <w:r>
        <w:rPr>
          <w:rFonts w:hint="eastAsia"/>
        </w:rPr>
        <w:t>进</w:t>
      </w:r>
      <w:r>
        <w:t>展。</w:t>
      </w:r>
    </w:p>
    <w:p>
      <w:pPr>
        <w:pStyle w:val="4"/>
        <w:numPr>
          <w:ilvl w:val="2"/>
          <w:numId w:val="2"/>
        </w:numPr>
        <w:tabs>
          <w:tab w:val="clear" w:pos="420"/>
        </w:tabs>
        <w:rPr>
          <w:rFonts w:hint="eastAsia"/>
          <w:lang w:val="en-US" w:eastAsia="zh-CN"/>
        </w:rPr>
      </w:pPr>
      <w:r>
        <w:rPr>
          <w:rFonts w:hint="eastAsia"/>
          <w:lang w:val="en-US" w:eastAsia="zh-CN"/>
        </w:rPr>
        <w:t xml:space="preserve"> </w:t>
      </w:r>
      <w:bookmarkStart w:id="78" w:name="_Toc164609459"/>
      <w:bookmarkStart w:id="79" w:name="_Toc8075"/>
      <w:r>
        <w:rPr>
          <w:rFonts w:hint="eastAsia"/>
          <w:lang w:val="en-US" w:eastAsia="zh-CN"/>
        </w:rPr>
        <w:t>中西医联合治疗</w:t>
      </w:r>
      <w:bookmarkEnd w:id="78"/>
      <w:bookmarkEnd w:id="79"/>
    </w:p>
    <w:p>
      <w:pPr>
        <w:ind w:firstLine="420" w:firstLineChars="0"/>
      </w:pPr>
      <w:r>
        <w:t>中西医结合治疗肝纤维化充分</w:t>
      </w:r>
      <w:r>
        <w:rPr>
          <w:rFonts w:hint="eastAsia"/>
        </w:rPr>
        <w:t>融合双方</w:t>
      </w:r>
      <w:r>
        <w:t>优势，西医</w:t>
      </w:r>
      <w:r>
        <w:rPr>
          <w:rFonts w:hint="eastAsia"/>
        </w:rPr>
        <w:t>专注于</w:t>
      </w:r>
      <w:r>
        <w:t>病因</w:t>
      </w:r>
      <w:r>
        <w:rPr>
          <w:rFonts w:hint="eastAsia"/>
        </w:rPr>
        <w:t>消除</w:t>
      </w:r>
      <w:r>
        <w:t>和抗纤维化药物应用</w:t>
      </w:r>
      <w:r>
        <w:rPr>
          <w:rFonts w:hint="eastAsia"/>
        </w:rPr>
        <w:t>，而中医则秉持整体观，有效优化肝脏微环境</w:t>
      </w:r>
      <w:r>
        <w:rPr>
          <w:vertAlign w:val="superscript"/>
        </w:rPr>
        <w:fldChar w:fldCharType="begin"/>
      </w:r>
      <w:r>
        <w:rPr>
          <w:vertAlign w:val="superscript"/>
        </w:rPr>
        <w:instrText xml:space="preserve"> </w:instrText>
      </w:r>
      <w:r>
        <w:rPr>
          <w:rFonts w:hint="eastAsia"/>
          <w:vertAlign w:val="superscript"/>
        </w:rPr>
        <w:instrText xml:space="preserve">REF _Ref164192344 \r \h</w:instrText>
      </w:r>
      <w:r>
        <w:rPr>
          <w:vertAlign w:val="superscript"/>
        </w:rPr>
        <w:instrText xml:space="preserve">  \* MERGEFORMAT </w:instrText>
      </w:r>
      <w:r>
        <w:rPr>
          <w:vertAlign w:val="superscript"/>
        </w:rPr>
        <w:fldChar w:fldCharType="separate"/>
      </w:r>
      <w:r>
        <w:rPr>
          <w:vertAlign w:val="superscript"/>
        </w:rPr>
        <w:t>[53]</w:t>
      </w:r>
      <w:r>
        <w:rPr>
          <w:vertAlign w:val="superscript"/>
        </w:rPr>
        <w:fldChar w:fldCharType="end"/>
      </w:r>
      <w:r>
        <w:rPr>
          <w:rFonts w:hint="eastAsia"/>
        </w:rPr>
        <w:t>。整合西医精准医疗与中医整体调理策略，旨在共同应对肝纤维化的病因及病理生理变化，借力互补以达成对肝纤维化的立体化、深层次干预</w:t>
      </w:r>
      <w:r>
        <w:rPr>
          <w:vertAlign w:val="superscript"/>
        </w:rPr>
        <w:fldChar w:fldCharType="begin"/>
      </w:r>
      <w:r>
        <w:rPr>
          <w:vertAlign w:val="superscript"/>
        </w:rPr>
        <w:instrText xml:space="preserve"> </w:instrText>
      </w:r>
      <w:r>
        <w:rPr>
          <w:rFonts w:hint="eastAsia"/>
          <w:vertAlign w:val="superscript"/>
        </w:rPr>
        <w:instrText xml:space="preserve">REF _Ref164192352 \r \h</w:instrText>
      </w:r>
      <w:r>
        <w:rPr>
          <w:vertAlign w:val="superscript"/>
        </w:rPr>
        <w:instrText xml:space="preserve">  \* MERGEFORMAT </w:instrText>
      </w:r>
      <w:r>
        <w:rPr>
          <w:vertAlign w:val="superscript"/>
        </w:rPr>
        <w:fldChar w:fldCharType="separate"/>
      </w:r>
      <w:r>
        <w:rPr>
          <w:vertAlign w:val="superscript"/>
        </w:rPr>
        <w:t>[54]</w:t>
      </w:r>
      <w:r>
        <w:rPr>
          <w:vertAlign w:val="superscript"/>
        </w:rPr>
        <w:fldChar w:fldCharType="end"/>
      </w:r>
      <w:r>
        <w:rPr>
          <w:rFonts w:hint="eastAsia"/>
        </w:rPr>
        <w:t>。</w:t>
      </w:r>
    </w:p>
    <w:p>
      <w:pPr>
        <w:pStyle w:val="2"/>
        <w:numPr>
          <w:ilvl w:val="0"/>
          <w:numId w:val="2"/>
        </w:numPr>
      </w:pPr>
      <w:bookmarkStart w:id="80" w:name="_Toc19511"/>
      <w:r>
        <w:rPr>
          <w:rFonts w:hint="eastAsia"/>
        </w:rPr>
        <w:t xml:space="preserve"> </w:t>
      </w:r>
      <w:bookmarkStart w:id="81" w:name="_Toc164609460"/>
      <w:bookmarkStart w:id="82" w:name="_Toc18028"/>
      <w:r>
        <w:t>TGF-β1</w:t>
      </w:r>
      <w:r>
        <w:rPr>
          <w:rFonts w:hint="eastAsia"/>
          <w:lang w:eastAsia="zh-CN"/>
        </w:rPr>
        <w:t>在</w:t>
      </w:r>
      <w:r>
        <w:rPr>
          <w:rFonts w:eastAsia="宋体"/>
        </w:rPr>
        <w:t>LX-2</w:t>
      </w:r>
      <w:r>
        <w:rPr>
          <w:rFonts w:hint="eastAsia" w:ascii="黑体" w:hAnsi="黑体" w:cs="黑体"/>
        </w:rPr>
        <w:t>细胞活化</w:t>
      </w:r>
      <w:bookmarkEnd w:id="80"/>
      <w:bookmarkEnd w:id="81"/>
      <w:r>
        <w:rPr>
          <w:rFonts w:hint="eastAsia" w:ascii="黑体" w:hAnsi="黑体" w:cs="黑体"/>
          <w:lang w:eastAsia="zh-CN"/>
        </w:rPr>
        <w:t>中的调控作用</w:t>
      </w:r>
      <w:bookmarkEnd w:id="82"/>
    </w:p>
    <w:p>
      <w:pPr>
        <w:pStyle w:val="3"/>
        <w:numPr>
          <w:ilvl w:val="1"/>
          <w:numId w:val="2"/>
        </w:numPr>
      </w:pPr>
      <w:bookmarkStart w:id="83" w:name="_Toc19665"/>
      <w:r>
        <w:rPr>
          <w:rFonts w:hint="eastAsia"/>
        </w:rPr>
        <w:t xml:space="preserve"> </w:t>
      </w:r>
      <w:bookmarkStart w:id="84" w:name="_Toc164609461"/>
      <w:bookmarkStart w:id="85" w:name="_Toc31889"/>
      <w:r>
        <w:rPr>
          <w:rFonts w:hint="default" w:ascii="Times New Roman" w:hAnsi="Times New Roman" w:cs="Times New Roman"/>
        </w:rPr>
        <w:t>TGF-β1</w:t>
      </w:r>
      <w:r>
        <w:rPr>
          <w:rFonts w:hint="eastAsia"/>
        </w:rPr>
        <w:t>简介</w:t>
      </w:r>
      <w:bookmarkEnd w:id="83"/>
      <w:bookmarkEnd w:id="84"/>
      <w:bookmarkEnd w:id="85"/>
    </w:p>
    <w:p>
      <w:pPr>
        <w:ind w:firstLine="420" w:firstLineChars="0"/>
      </w:pPr>
      <w:r>
        <w:rPr>
          <w:rFonts w:hint="eastAsia"/>
          <w:shd w:val="clear" w:color="auto" w:fill="FFFFFF"/>
        </w:rPr>
        <w:t>转化生长因子</w:t>
      </w:r>
      <w:r>
        <w:t>-β</w:t>
      </w:r>
      <w:r>
        <w:rPr>
          <w:rFonts w:hint="eastAsia"/>
        </w:rPr>
        <w:t>1（</w:t>
      </w:r>
      <w:r>
        <w:t>TGF-β</w:t>
      </w:r>
      <w:r>
        <w:rPr>
          <w:rFonts w:hint="eastAsia"/>
        </w:rPr>
        <w:t>1）是一类多功能细胞信号分子，在细胞增殖、分化、迁移、程序性死亡、炎症反应以及组织重塑等多种生物学过程中具有关键调节作用</w:t>
      </w:r>
      <w:r>
        <w:rPr>
          <w:vertAlign w:val="superscript"/>
        </w:rPr>
        <w:fldChar w:fldCharType="begin"/>
      </w:r>
      <w:r>
        <w:rPr>
          <w:vertAlign w:val="superscript"/>
        </w:rPr>
        <w:instrText xml:space="preserve"> </w:instrText>
      </w:r>
      <w:r>
        <w:rPr>
          <w:rFonts w:hint="eastAsia"/>
          <w:vertAlign w:val="superscript"/>
        </w:rPr>
        <w:instrText xml:space="preserve">REF _Ref161319375 \r \h</w:instrText>
      </w:r>
      <w:r>
        <w:rPr>
          <w:vertAlign w:val="superscript"/>
        </w:rPr>
        <w:instrText xml:space="preserve">  \* MERGEFORMAT </w:instrText>
      </w:r>
      <w:r>
        <w:rPr>
          <w:vertAlign w:val="superscript"/>
        </w:rPr>
        <w:fldChar w:fldCharType="separate"/>
      </w:r>
      <w:r>
        <w:rPr>
          <w:vertAlign w:val="superscript"/>
        </w:rPr>
        <w:t>[55]</w:t>
      </w:r>
      <w:r>
        <w:rPr>
          <w:vertAlign w:val="superscript"/>
        </w:rPr>
        <w:fldChar w:fldCharType="end"/>
      </w:r>
      <w:r>
        <w:rPr>
          <w:rFonts w:hint="eastAsia"/>
        </w:rPr>
        <w:t>。在正常生理条件下</w:t>
      </w:r>
      <w:r>
        <w:t>，TGF-β1</w:t>
      </w:r>
      <w:r>
        <w:rPr>
          <w:rFonts w:hint="eastAsia"/>
        </w:rPr>
        <w:t>参与胚胎发育、组织修复和免疫调节</w:t>
      </w:r>
      <w:r>
        <w:rPr>
          <w:vertAlign w:val="superscript"/>
        </w:rPr>
        <w:fldChar w:fldCharType="begin"/>
      </w:r>
      <w:r>
        <w:rPr>
          <w:vertAlign w:val="superscript"/>
        </w:rPr>
        <w:instrText xml:space="preserve"> </w:instrText>
      </w:r>
      <w:r>
        <w:rPr>
          <w:rFonts w:hint="eastAsia"/>
          <w:vertAlign w:val="superscript"/>
        </w:rPr>
        <w:instrText xml:space="preserve">REF _Ref164192471 \r \h</w:instrText>
      </w:r>
      <w:r>
        <w:rPr>
          <w:vertAlign w:val="superscript"/>
        </w:rPr>
        <w:instrText xml:space="preserve">  \* MERGEFORMAT </w:instrText>
      </w:r>
      <w:r>
        <w:rPr>
          <w:vertAlign w:val="superscript"/>
        </w:rPr>
        <w:fldChar w:fldCharType="separate"/>
      </w:r>
      <w:r>
        <w:rPr>
          <w:vertAlign w:val="superscript"/>
        </w:rPr>
        <w:t>[56]</w:t>
      </w:r>
      <w:r>
        <w:rPr>
          <w:vertAlign w:val="superscript"/>
        </w:rPr>
        <w:fldChar w:fldCharType="end"/>
      </w:r>
      <w:r>
        <w:rPr>
          <w:rFonts w:hint="eastAsia"/>
        </w:rPr>
        <w:t>。</w:t>
      </w:r>
      <w:bookmarkStart w:id="86" w:name="OLE_LINK7"/>
      <w:r>
        <w:t>TGF-β1</w:t>
      </w:r>
      <w:bookmarkEnd w:id="86"/>
      <w:r>
        <w:rPr>
          <w:rFonts w:hint="eastAsia"/>
        </w:rPr>
        <w:t>信号通路失调被视为是多种疾病的诱因，故而针对</w:t>
      </w:r>
      <w:r>
        <w:t>TGF-β1</w:t>
      </w:r>
      <w:r>
        <w:rPr>
          <w:rFonts w:hint="eastAsia"/>
        </w:rPr>
        <w:t>及其信号通路的调控已成为当前众多疾病治疗策略的研究热点。</w:t>
      </w:r>
    </w:p>
    <w:p>
      <w:pPr>
        <w:pStyle w:val="3"/>
        <w:numPr>
          <w:ilvl w:val="1"/>
          <w:numId w:val="2"/>
        </w:numPr>
      </w:pPr>
      <w:bookmarkStart w:id="87" w:name="_Toc29052"/>
      <w:r>
        <w:rPr>
          <w:rFonts w:hint="eastAsia"/>
        </w:rPr>
        <w:t xml:space="preserve"> </w:t>
      </w:r>
      <w:bookmarkStart w:id="88" w:name="_Toc164609462"/>
      <w:bookmarkStart w:id="89" w:name="_Toc1082"/>
      <w:r>
        <w:rPr>
          <w:rFonts w:hint="eastAsia"/>
        </w:rPr>
        <w:t>肝星状细胞</w:t>
      </w:r>
      <w:bookmarkEnd w:id="87"/>
      <w:bookmarkEnd w:id="88"/>
      <w:bookmarkEnd w:id="89"/>
    </w:p>
    <w:p>
      <w:pPr>
        <w:ind w:firstLine="420" w:firstLineChars="0"/>
        <w:rPr>
          <w:shd w:val="clear" w:color="auto" w:fill="FFFFFF"/>
        </w:rPr>
      </w:pPr>
      <w:r>
        <w:rPr>
          <w:rFonts w:hint="eastAsia"/>
          <w:shd w:val="clear" w:color="auto" w:fill="FFFFFF"/>
        </w:rPr>
        <w:t>肝星状细胞（H</w:t>
      </w:r>
      <w:r>
        <w:rPr>
          <w:shd w:val="clear" w:color="auto" w:fill="FFFFFF"/>
        </w:rPr>
        <w:t>SC</w:t>
      </w:r>
      <w:r>
        <w:rPr>
          <w:rFonts w:hint="eastAsia"/>
          <w:shd w:val="clear" w:color="auto" w:fill="FFFFFF"/>
        </w:rPr>
        <w:t>s）是肝脏内非实质细胞，与肝窦内皮细胞和肝细胞紧密相邻</w:t>
      </w:r>
      <w:r>
        <w:rPr>
          <w:vertAlign w:val="superscript"/>
        </w:rPr>
        <w:fldChar w:fldCharType="begin"/>
      </w:r>
      <w:r>
        <w:rPr>
          <w:vertAlign w:val="superscript"/>
        </w:rPr>
        <w:instrText xml:space="preserve"> </w:instrText>
      </w:r>
      <w:r>
        <w:rPr>
          <w:rFonts w:hint="eastAsia"/>
          <w:vertAlign w:val="superscript"/>
        </w:rPr>
        <w:instrText xml:space="preserve">REF _Ref164192482 \r \h</w:instrText>
      </w:r>
      <w:r>
        <w:rPr>
          <w:vertAlign w:val="superscript"/>
        </w:rPr>
        <w:instrText xml:space="preserve">  \* MERGEFORMAT </w:instrText>
      </w:r>
      <w:r>
        <w:rPr>
          <w:vertAlign w:val="superscript"/>
        </w:rPr>
        <w:fldChar w:fldCharType="separate"/>
      </w:r>
      <w:r>
        <w:rPr>
          <w:vertAlign w:val="superscript"/>
        </w:rPr>
        <w:t>[57]</w:t>
      </w:r>
      <w:r>
        <w:rPr>
          <w:vertAlign w:val="superscript"/>
        </w:rPr>
        <w:fldChar w:fldCharType="end"/>
      </w:r>
      <w:r>
        <w:rPr>
          <w:rFonts w:hint="eastAsia"/>
          <w:shd w:val="clear" w:color="auto" w:fill="FFFFFF"/>
        </w:rPr>
        <w:t>。在静息状态下，H</w:t>
      </w:r>
      <w:r>
        <w:rPr>
          <w:shd w:val="clear" w:color="auto" w:fill="FFFFFF"/>
        </w:rPr>
        <w:t>SC</w:t>
      </w:r>
      <w:r>
        <w:rPr>
          <w:rFonts w:hint="eastAsia"/>
          <w:shd w:val="clear" w:color="auto" w:fill="FFFFFF"/>
        </w:rPr>
        <w:t>s主要负责存储以视黄醇酯形式存在的维生素A且</w:t>
      </w:r>
      <w:r>
        <w:rPr>
          <w:rFonts w:hint="eastAsia"/>
          <w:shd w:val="clear" w:color="auto" w:fill="FFFFFF"/>
          <w:lang w:eastAsia="zh-CN"/>
        </w:rPr>
        <w:t>其</w:t>
      </w:r>
      <w:r>
        <w:rPr>
          <w:rFonts w:hint="eastAsia"/>
          <w:shd w:val="clear" w:color="auto" w:fill="FFFFFF"/>
        </w:rPr>
        <w:t>胞浆内富含脂滴</w:t>
      </w:r>
      <w:r>
        <w:rPr>
          <w:vertAlign w:val="superscript"/>
        </w:rPr>
        <w:fldChar w:fldCharType="begin"/>
      </w:r>
      <w:r>
        <w:rPr>
          <w:vertAlign w:val="superscript"/>
        </w:rPr>
        <w:instrText xml:space="preserve"> </w:instrText>
      </w:r>
      <w:r>
        <w:rPr>
          <w:rFonts w:hint="eastAsia"/>
          <w:vertAlign w:val="superscript"/>
        </w:rPr>
        <w:instrText xml:space="preserve">REF _Ref161327547 \r \h</w:instrText>
      </w:r>
      <w:r>
        <w:rPr>
          <w:vertAlign w:val="superscript"/>
        </w:rPr>
        <w:instrText xml:space="preserve">  \* MERGEFORMAT </w:instrText>
      </w:r>
      <w:r>
        <w:rPr>
          <w:vertAlign w:val="superscript"/>
        </w:rPr>
        <w:fldChar w:fldCharType="separate"/>
      </w:r>
      <w:r>
        <w:rPr>
          <w:vertAlign w:val="superscript"/>
        </w:rPr>
        <w:t>[58]</w:t>
      </w:r>
      <w:r>
        <w:rPr>
          <w:vertAlign w:val="superscript"/>
        </w:rPr>
        <w:fldChar w:fldCharType="end"/>
      </w:r>
      <w:r>
        <w:rPr>
          <w:rFonts w:hint="eastAsia"/>
          <w:shd w:val="clear" w:color="auto" w:fill="FFFFFF"/>
        </w:rPr>
        <w:t>。在肝脏损伤时，HSCs会被包括生长因子如</w:t>
      </w:r>
      <w:r>
        <w:t>TGF-β1</w:t>
      </w:r>
      <w:r>
        <w:rPr>
          <w:rFonts w:hint="eastAsia"/>
        </w:rPr>
        <w:t>、</w:t>
      </w:r>
      <w:r>
        <w:rPr>
          <w:rFonts w:hint="eastAsia"/>
          <w:shd w:val="clear" w:color="auto" w:fill="FFFFFF"/>
        </w:rPr>
        <w:t>血小板衍生生长因子</w:t>
      </w:r>
      <w:r>
        <w:rPr>
          <w:shd w:val="clear" w:color="auto" w:fill="FFFFFF"/>
        </w:rPr>
        <w:t>（PDGF）</w:t>
      </w:r>
      <w:r>
        <w:rPr>
          <w:rFonts w:hint="eastAsia"/>
          <w:shd w:val="clear" w:color="auto" w:fill="FFFFFF"/>
        </w:rPr>
        <w:t>、肿瘤坏死因子</w:t>
      </w:r>
      <w:r>
        <w:rPr>
          <w:shd w:val="clear" w:color="auto" w:fill="FFFFFF"/>
        </w:rPr>
        <w:t>-α（TNF-α）</w:t>
      </w:r>
      <w:r>
        <w:rPr>
          <w:rFonts w:hint="eastAsia"/>
          <w:shd w:val="clear" w:color="auto" w:fill="FFFFFF"/>
        </w:rPr>
        <w:t>在内的多种细胞因子激活，转化为肌成纤维细胞样细胞</w:t>
      </w:r>
      <w:r>
        <w:rPr>
          <w:vertAlign w:val="superscript"/>
        </w:rPr>
        <w:fldChar w:fldCharType="begin"/>
      </w:r>
      <w:r>
        <w:rPr>
          <w:vertAlign w:val="superscript"/>
        </w:rPr>
        <w:instrText xml:space="preserve"> </w:instrText>
      </w:r>
      <w:r>
        <w:rPr>
          <w:rFonts w:hint="eastAsia"/>
          <w:vertAlign w:val="superscript"/>
        </w:rPr>
        <w:instrText xml:space="preserve">REF _Ref164192500 \r \h</w:instrText>
      </w:r>
      <w:r>
        <w:rPr>
          <w:vertAlign w:val="superscript"/>
        </w:rPr>
        <w:instrText xml:space="preserve">  \* MERGEFORMAT </w:instrText>
      </w:r>
      <w:r>
        <w:rPr>
          <w:vertAlign w:val="superscript"/>
        </w:rPr>
        <w:fldChar w:fldCharType="separate"/>
      </w:r>
      <w:r>
        <w:rPr>
          <w:vertAlign w:val="superscript"/>
        </w:rPr>
        <w:t>[59]</w:t>
      </w:r>
      <w:r>
        <w:rPr>
          <w:vertAlign w:val="superscript"/>
        </w:rPr>
        <w:fldChar w:fldCharType="end"/>
      </w:r>
      <w:r>
        <w:rPr>
          <w:rFonts w:hint="eastAsia"/>
          <w:shd w:val="clear" w:color="auto" w:fill="FFFFFF"/>
        </w:rPr>
        <w:t>。激活后的HSCs增殖和迁移能力增强，并分泌大量ECM，在肝纤维化进程中起到关键作用</w:t>
      </w:r>
      <w:r>
        <w:rPr>
          <w:vertAlign w:val="superscript"/>
        </w:rPr>
        <w:fldChar w:fldCharType="begin"/>
      </w:r>
      <w:r>
        <w:rPr>
          <w:vertAlign w:val="superscript"/>
        </w:rPr>
        <w:instrText xml:space="preserve"> </w:instrText>
      </w:r>
      <w:r>
        <w:rPr>
          <w:rFonts w:hint="eastAsia"/>
          <w:vertAlign w:val="superscript"/>
        </w:rPr>
        <w:instrText xml:space="preserve">REF _Ref164193716 \r \h</w:instrText>
      </w:r>
      <w:r>
        <w:rPr>
          <w:vertAlign w:val="superscript"/>
        </w:rPr>
        <w:instrText xml:space="preserve">  \* MERGEFORMAT </w:instrText>
      </w:r>
      <w:r>
        <w:rPr>
          <w:vertAlign w:val="superscript"/>
        </w:rPr>
        <w:fldChar w:fldCharType="separate"/>
      </w:r>
      <w:r>
        <w:rPr>
          <w:vertAlign w:val="superscript"/>
        </w:rPr>
        <w:t>[60]</w:t>
      </w:r>
      <w:r>
        <w:rPr>
          <w:vertAlign w:val="superscript"/>
        </w:rPr>
        <w:fldChar w:fldCharType="end"/>
      </w:r>
      <w:r>
        <w:rPr>
          <w:rFonts w:hint="eastAsia"/>
          <w:shd w:val="clear" w:color="auto" w:fill="FFFFFF"/>
        </w:rPr>
        <w:t>。</w:t>
      </w:r>
    </w:p>
    <w:p>
      <w:pPr>
        <w:pStyle w:val="3"/>
        <w:numPr>
          <w:ilvl w:val="1"/>
          <w:numId w:val="2"/>
        </w:numPr>
      </w:pPr>
      <w:bookmarkStart w:id="90" w:name="_Toc9996"/>
      <w:r>
        <w:rPr>
          <w:rFonts w:hint="eastAsia"/>
        </w:rPr>
        <w:t xml:space="preserve"> </w:t>
      </w:r>
      <w:bookmarkStart w:id="91" w:name="_Toc164609463"/>
      <w:bookmarkStart w:id="92" w:name="_Toc12196"/>
      <w:r>
        <w:rPr>
          <w:rFonts w:hint="eastAsia"/>
        </w:rPr>
        <w:t>肝星状细胞与肝纤维化的关系</w:t>
      </w:r>
      <w:bookmarkEnd w:id="90"/>
      <w:bookmarkEnd w:id="91"/>
      <w:bookmarkEnd w:id="92"/>
    </w:p>
    <w:p>
      <w:pPr>
        <w:ind w:firstLine="420" w:firstLineChars="0"/>
      </w:pPr>
      <w:r>
        <w:rPr>
          <w:rFonts w:hint="eastAsia"/>
        </w:rPr>
        <w:t>静息状态的HSCs位于肝脏窦周隙内，富含维生素A储存颗粒，具有维持肝脏脂溶性维生素平衡的功能</w:t>
      </w:r>
      <w:r>
        <w:rPr>
          <w:vertAlign w:val="superscript"/>
        </w:rPr>
        <w:fldChar w:fldCharType="begin"/>
      </w:r>
      <w:r>
        <w:rPr>
          <w:vertAlign w:val="superscript"/>
        </w:rPr>
        <w:instrText xml:space="preserve"> </w:instrText>
      </w:r>
      <w:r>
        <w:rPr>
          <w:rFonts w:hint="eastAsia"/>
          <w:vertAlign w:val="superscript"/>
        </w:rPr>
        <w:instrText xml:space="preserve">REF _Ref164193705 \r \h</w:instrText>
      </w:r>
      <w:r>
        <w:rPr>
          <w:vertAlign w:val="superscript"/>
        </w:rPr>
        <w:instrText xml:space="preserve">  \* MERGEFORMAT </w:instrText>
      </w:r>
      <w:r>
        <w:rPr>
          <w:vertAlign w:val="superscript"/>
        </w:rPr>
        <w:fldChar w:fldCharType="separate"/>
      </w:r>
      <w:r>
        <w:rPr>
          <w:vertAlign w:val="superscript"/>
        </w:rPr>
        <w:t>[61]</w:t>
      </w:r>
      <w:r>
        <w:rPr>
          <w:vertAlign w:val="superscript"/>
        </w:rPr>
        <w:fldChar w:fldCharType="end"/>
      </w:r>
      <w:r>
        <w:rPr>
          <w:rFonts w:hint="eastAsia"/>
        </w:rPr>
        <w:t>。然而，在慢性肝病刺激下，肝细胞受到持续性损伤并释放多种细胞因子和生长因子，其中</w:t>
      </w:r>
      <w:r>
        <w:t>TGF-β1</w:t>
      </w:r>
      <w:r>
        <w:rPr>
          <w:rFonts w:hint="eastAsia"/>
        </w:rPr>
        <w:t>尤为关键。此类活性介质激活HSCs后，细胞的收缩、增殖和迁移能力增强，伴随着纤维化标志物</w:t>
      </w:r>
      <w:r>
        <w:t>α-SMA</w:t>
      </w:r>
      <w:r>
        <w:rPr>
          <w:rFonts w:hint="eastAsia"/>
        </w:rPr>
        <w:t>和</w:t>
      </w:r>
      <w:r>
        <w:t>Collagen I</w:t>
      </w:r>
      <w:r>
        <w:rPr>
          <w:rFonts w:hint="eastAsia"/>
        </w:rPr>
        <w:t>的表达增加及维生素A颗粒耗竭</w:t>
      </w:r>
      <w:r>
        <w:rPr>
          <w:vertAlign w:val="superscript"/>
        </w:rPr>
        <w:fldChar w:fldCharType="begin"/>
      </w:r>
      <w:r>
        <w:rPr>
          <w:vertAlign w:val="superscript"/>
        </w:rPr>
        <w:instrText xml:space="preserve"> </w:instrText>
      </w:r>
      <w:r>
        <w:rPr>
          <w:rFonts w:hint="eastAsia"/>
          <w:vertAlign w:val="superscript"/>
        </w:rPr>
        <w:instrText xml:space="preserve">REF _Ref161331294 \r \h</w:instrText>
      </w:r>
      <w:r>
        <w:rPr>
          <w:vertAlign w:val="superscript"/>
        </w:rPr>
        <w:instrText xml:space="preserve">  \* MERGEFORMAT </w:instrText>
      </w:r>
      <w:r>
        <w:rPr>
          <w:vertAlign w:val="superscript"/>
        </w:rPr>
        <w:fldChar w:fldCharType="separate"/>
      </w:r>
      <w:r>
        <w:rPr>
          <w:vertAlign w:val="superscript"/>
        </w:rPr>
        <w:t>[62]</w:t>
      </w:r>
      <w:r>
        <w:rPr>
          <w:vertAlign w:val="superscript"/>
        </w:rPr>
        <w:fldChar w:fldCharType="end"/>
      </w:r>
      <w:r>
        <w:rPr>
          <w:rFonts w:hint="eastAsia"/>
        </w:rPr>
        <w:t>。活化的HSCs会过量合成并分泌ECM，导致肝脏内纤维化物质异常蓄积</w:t>
      </w:r>
      <w:r>
        <w:rPr>
          <w:rFonts w:hint="eastAsia"/>
          <w:lang w:val="en-US" w:eastAsia="zh-CN"/>
        </w:rPr>
        <w:t>而</w:t>
      </w:r>
      <w:r>
        <w:rPr>
          <w:rFonts w:hint="eastAsia"/>
        </w:rPr>
        <w:t>损毁正常的肝小叶组织结构</w:t>
      </w:r>
      <w:r>
        <w:rPr>
          <w:vertAlign w:val="superscript"/>
        </w:rPr>
        <w:fldChar w:fldCharType="begin"/>
      </w:r>
      <w:r>
        <w:rPr>
          <w:vertAlign w:val="superscript"/>
        </w:rPr>
        <w:instrText xml:space="preserve"> </w:instrText>
      </w:r>
      <w:r>
        <w:rPr>
          <w:rFonts w:hint="eastAsia"/>
          <w:vertAlign w:val="superscript"/>
        </w:rPr>
        <w:instrText xml:space="preserve">REF _Ref164193664 \r \h</w:instrText>
      </w:r>
      <w:r>
        <w:rPr>
          <w:vertAlign w:val="superscript"/>
        </w:rPr>
        <w:instrText xml:space="preserve">  \* MERGEFORMAT </w:instrText>
      </w:r>
      <w:r>
        <w:rPr>
          <w:vertAlign w:val="superscript"/>
        </w:rPr>
        <w:fldChar w:fldCharType="separate"/>
      </w:r>
      <w:r>
        <w:rPr>
          <w:vertAlign w:val="superscript"/>
        </w:rPr>
        <w:t>[63]</w:t>
      </w:r>
      <w:r>
        <w:rPr>
          <w:vertAlign w:val="superscript"/>
        </w:rPr>
        <w:fldChar w:fldCharType="end"/>
      </w:r>
      <w:r>
        <w:rPr>
          <w:rFonts w:hint="eastAsia"/>
        </w:rPr>
        <w:t>，</w:t>
      </w:r>
      <w:r>
        <w:rPr>
          <w:rFonts w:hint="eastAsia"/>
          <w:lang w:val="en-US" w:eastAsia="zh-CN"/>
        </w:rPr>
        <w:t>从而</w:t>
      </w:r>
      <w:r>
        <w:rPr>
          <w:rFonts w:hint="eastAsia"/>
        </w:rPr>
        <w:t>阻碍肝脏内部血液的正常流动</w:t>
      </w:r>
      <w:r>
        <w:rPr>
          <w:rFonts w:hint="eastAsia"/>
          <w:lang w:val="en-US" w:eastAsia="zh-CN"/>
        </w:rPr>
        <w:t>和</w:t>
      </w:r>
      <w:r>
        <w:rPr>
          <w:rFonts w:hint="eastAsia"/>
        </w:rPr>
        <w:t>肝细胞功能及再生能力，最终可能引发肝硬化乃至肝功能衰竭。</w:t>
      </w:r>
    </w:p>
    <w:p>
      <w:pPr>
        <w:ind w:firstLine="420" w:firstLineChars="0"/>
      </w:pPr>
      <w:r>
        <w:rPr>
          <w:rFonts w:hint="eastAsia"/>
        </w:rPr>
        <w:t>因此，HSCs在肝脏疾病特别是肝纤维化进程中占据核心地位，是肝病治疗研究的重要靶点之一</w:t>
      </w:r>
      <w:r>
        <w:rPr>
          <w:vertAlign w:val="superscript"/>
        </w:rPr>
        <w:fldChar w:fldCharType="begin"/>
      </w:r>
      <w:r>
        <w:rPr>
          <w:vertAlign w:val="superscript"/>
        </w:rPr>
        <w:instrText xml:space="preserve"> </w:instrText>
      </w:r>
      <w:r>
        <w:rPr>
          <w:rFonts w:hint="eastAsia"/>
          <w:vertAlign w:val="superscript"/>
        </w:rPr>
        <w:instrText xml:space="preserve">REF _Ref164193648 \r \h</w:instrText>
      </w:r>
      <w:r>
        <w:rPr>
          <w:vertAlign w:val="superscript"/>
        </w:rPr>
        <w:instrText xml:space="preserve">  \* MERGEFORMAT </w:instrText>
      </w:r>
      <w:r>
        <w:rPr>
          <w:vertAlign w:val="superscript"/>
        </w:rPr>
        <w:fldChar w:fldCharType="separate"/>
      </w:r>
      <w:r>
        <w:rPr>
          <w:vertAlign w:val="superscript"/>
        </w:rPr>
        <w:t>[64]</w:t>
      </w:r>
      <w:r>
        <w:rPr>
          <w:vertAlign w:val="superscript"/>
        </w:rPr>
        <w:fldChar w:fldCharType="end"/>
      </w:r>
      <w:r>
        <w:rPr>
          <w:rFonts w:hint="eastAsia"/>
        </w:rPr>
        <w:t>。通过抑制HSCs的激活和增殖，减少ECM沉积，可以有效干预和逆转肝纤维化进程。</w:t>
      </w:r>
    </w:p>
    <w:p>
      <w:pPr>
        <w:pStyle w:val="3"/>
        <w:numPr>
          <w:ilvl w:val="1"/>
          <w:numId w:val="2"/>
        </w:numPr>
      </w:pPr>
      <w:bookmarkStart w:id="93" w:name="_Toc18315"/>
      <w:r>
        <w:rPr>
          <w:rFonts w:hint="eastAsia"/>
        </w:rPr>
        <w:t xml:space="preserve"> </w:t>
      </w:r>
      <w:bookmarkStart w:id="94" w:name="_Toc164609464"/>
      <w:bookmarkStart w:id="95" w:name="_Toc25634"/>
      <w:r>
        <w:rPr>
          <w:rFonts w:hint="eastAsia"/>
        </w:rPr>
        <w:t>肝纤维化中</w:t>
      </w:r>
      <w:r>
        <w:rPr>
          <w:rFonts w:hint="default" w:ascii="Times New Roman" w:hAnsi="Times New Roman" w:eastAsia="黑体" w:cs="Times New Roman"/>
        </w:rPr>
        <w:t>TGF-β1/Smad</w:t>
      </w:r>
      <w:r>
        <w:rPr>
          <w:rFonts w:hint="eastAsia"/>
        </w:rPr>
        <w:t xml:space="preserve"> 通路</w:t>
      </w:r>
      <w:bookmarkEnd w:id="93"/>
      <w:bookmarkEnd w:id="94"/>
      <w:bookmarkEnd w:id="95"/>
    </w:p>
    <w:p>
      <w:pPr>
        <w:ind w:firstLine="420" w:firstLineChars="0"/>
      </w:pPr>
      <w:r>
        <w:rPr>
          <w:rFonts w:hint="eastAsia"/>
        </w:rPr>
        <w:t>Smads蛋白家族是</w:t>
      </w:r>
      <w:r>
        <w:t>TGF-β</w:t>
      </w:r>
      <w:r>
        <w:rPr>
          <w:rFonts w:hint="eastAsia"/>
        </w:rPr>
        <w:t>信号传导通路下游的关键中介，负责将</w:t>
      </w:r>
      <w:r>
        <w:t>TGF-β</w:t>
      </w:r>
      <w:r>
        <w:rPr>
          <w:rFonts w:hint="eastAsia"/>
        </w:rPr>
        <w:t>信号从细胞膜传递至细胞核内，实现跨膜信号传导及基因表达调控</w:t>
      </w:r>
      <w:r>
        <w:rPr>
          <w:vertAlign w:val="superscript"/>
        </w:rPr>
        <w:fldChar w:fldCharType="begin"/>
      </w:r>
      <w:r>
        <w:rPr>
          <w:vertAlign w:val="superscript"/>
        </w:rPr>
        <w:instrText xml:space="preserve"> </w:instrText>
      </w:r>
      <w:r>
        <w:rPr>
          <w:rFonts w:hint="eastAsia"/>
          <w:vertAlign w:val="superscript"/>
        </w:rPr>
        <w:instrText xml:space="preserve">REF _Ref164193635 \r \h</w:instrText>
      </w:r>
      <w:r>
        <w:rPr>
          <w:vertAlign w:val="superscript"/>
        </w:rPr>
        <w:instrText xml:space="preserve">  \* MERGEFORMAT </w:instrText>
      </w:r>
      <w:r>
        <w:rPr>
          <w:vertAlign w:val="superscript"/>
        </w:rPr>
        <w:fldChar w:fldCharType="separate"/>
      </w:r>
      <w:r>
        <w:rPr>
          <w:vertAlign w:val="superscript"/>
        </w:rPr>
        <w:t>[65]</w:t>
      </w:r>
      <w:r>
        <w:rPr>
          <w:vertAlign w:val="superscript"/>
        </w:rPr>
        <w:fldChar w:fldCharType="end"/>
      </w:r>
      <w:r>
        <w:rPr>
          <w:rFonts w:hint="eastAsia"/>
        </w:rPr>
        <w:t>。</w:t>
      </w:r>
    </w:p>
    <w:p>
      <w:pPr>
        <w:ind w:firstLine="420" w:firstLineChars="0"/>
      </w:pPr>
      <w:r>
        <w:t>TGF-β1</w:t>
      </w:r>
      <w:r>
        <w:rPr>
          <w:rFonts w:hint="eastAsia"/>
          <w:lang w:val="en-US" w:eastAsia="zh-CN"/>
        </w:rPr>
        <w:t>分子与</w:t>
      </w:r>
      <w:r>
        <w:rPr>
          <w:rFonts w:hint="eastAsia"/>
        </w:rPr>
        <w:t>细胞</w:t>
      </w:r>
      <w:r>
        <w:rPr>
          <w:rFonts w:hint="eastAsia"/>
          <w:lang w:val="en-US" w:eastAsia="zh-CN"/>
        </w:rPr>
        <w:t>表面</w:t>
      </w:r>
      <w:r>
        <w:rPr>
          <w:rFonts w:hint="eastAsia"/>
        </w:rPr>
        <w:t>的TGF-</w:t>
      </w:r>
      <w:r>
        <w:t>β</w:t>
      </w:r>
      <w:r>
        <w:rPr>
          <w:rFonts w:hint="eastAsia"/>
        </w:rPr>
        <w:t xml:space="preserve"> II型受体（T</w:t>
      </w:r>
      <w:r>
        <w:t>β</w:t>
      </w:r>
      <w:r>
        <w:rPr>
          <w:rFonts w:hint="eastAsia"/>
        </w:rPr>
        <w:t>RII）结合后，会</w:t>
      </w:r>
      <w:r>
        <w:rPr>
          <w:rFonts w:hint="eastAsia"/>
          <w:lang w:val="en-US" w:eastAsia="zh-CN"/>
        </w:rPr>
        <w:t>吸引</w:t>
      </w:r>
      <w:r>
        <w:rPr>
          <w:rFonts w:hint="eastAsia"/>
        </w:rPr>
        <w:t>TGF-</w:t>
      </w:r>
      <w:r>
        <w:t>β</w:t>
      </w:r>
      <w:r>
        <w:rPr>
          <w:rFonts w:hint="eastAsia"/>
        </w:rPr>
        <w:t xml:space="preserve"> I型受体（T</w:t>
      </w:r>
      <w:r>
        <w:t>β</w:t>
      </w:r>
      <w:r>
        <w:rPr>
          <w:rFonts w:hint="eastAsia"/>
        </w:rPr>
        <w:t>RI）并与之结合</w:t>
      </w:r>
      <w:r>
        <w:rPr>
          <w:rFonts w:hint="eastAsia"/>
          <w:lang w:eastAsia="zh-CN"/>
        </w:rPr>
        <w:t>，</w:t>
      </w:r>
      <w:r>
        <w:rPr>
          <w:rFonts w:hint="eastAsia"/>
        </w:rPr>
        <w:t>I型受体通过磷酸化作用激活Smad蛋白家族</w:t>
      </w:r>
      <w:r>
        <w:rPr>
          <w:rFonts w:hint="eastAsia"/>
          <w:lang w:val="en-US" w:eastAsia="zh-CN"/>
        </w:rPr>
        <w:t>中的</w:t>
      </w:r>
      <w:r>
        <w:rPr>
          <w:rFonts w:hint="eastAsia"/>
        </w:rPr>
        <w:t>Smad2和Smad3</w:t>
      </w:r>
      <w:r>
        <w:rPr>
          <w:rFonts w:hint="eastAsia"/>
          <w:lang w:val="en-US" w:eastAsia="zh-CN"/>
        </w:rPr>
        <w:t>成员</w:t>
      </w:r>
      <w:r>
        <w:rPr>
          <w:vertAlign w:val="superscript"/>
        </w:rPr>
        <w:fldChar w:fldCharType="begin"/>
      </w:r>
      <w:r>
        <w:rPr>
          <w:vertAlign w:val="superscript"/>
        </w:rPr>
        <w:instrText xml:space="preserve"> </w:instrText>
      </w:r>
      <w:r>
        <w:rPr>
          <w:rFonts w:hint="eastAsia"/>
          <w:vertAlign w:val="superscript"/>
        </w:rPr>
        <w:instrText xml:space="preserve">REF _Ref164193621 \r \h</w:instrText>
      </w:r>
      <w:r>
        <w:rPr>
          <w:vertAlign w:val="superscript"/>
        </w:rPr>
        <w:instrText xml:space="preserve">  \* MERGEFORMAT </w:instrText>
      </w:r>
      <w:r>
        <w:rPr>
          <w:vertAlign w:val="superscript"/>
        </w:rPr>
        <w:fldChar w:fldCharType="separate"/>
      </w:r>
      <w:r>
        <w:rPr>
          <w:vertAlign w:val="superscript"/>
        </w:rPr>
        <w:t>[66]</w:t>
      </w:r>
      <w:r>
        <w:rPr>
          <w:vertAlign w:val="superscript"/>
        </w:rPr>
        <w:fldChar w:fldCharType="end"/>
      </w:r>
      <w:r>
        <w:rPr>
          <w:rFonts w:hint="eastAsia"/>
        </w:rPr>
        <w:t>。磷酸化的Smad2和Smad3与Smad4蛋白相互结合成复合体进入细胞核参与基因转录调控，作为共激活因子激活纤维化相关的基因表达</w:t>
      </w:r>
      <w:r>
        <w:rPr>
          <w:vertAlign w:val="superscript"/>
        </w:rPr>
        <w:fldChar w:fldCharType="begin"/>
      </w:r>
      <w:r>
        <w:rPr>
          <w:vertAlign w:val="superscript"/>
        </w:rPr>
        <w:instrText xml:space="preserve"> </w:instrText>
      </w:r>
      <w:r>
        <w:rPr>
          <w:rFonts w:hint="eastAsia"/>
          <w:vertAlign w:val="superscript"/>
        </w:rPr>
        <w:instrText xml:space="preserve">REF _Ref164193609 \r \h</w:instrText>
      </w:r>
      <w:r>
        <w:rPr>
          <w:vertAlign w:val="superscript"/>
        </w:rPr>
        <w:instrText xml:space="preserve">  \* MERGEFORMAT </w:instrText>
      </w:r>
      <w:r>
        <w:rPr>
          <w:vertAlign w:val="superscript"/>
        </w:rPr>
        <w:fldChar w:fldCharType="separate"/>
      </w:r>
      <w:r>
        <w:rPr>
          <w:vertAlign w:val="superscript"/>
        </w:rPr>
        <w:t>[67]</w:t>
      </w:r>
      <w:r>
        <w:rPr>
          <w:vertAlign w:val="superscript"/>
        </w:rPr>
        <w:fldChar w:fldCharType="end"/>
      </w:r>
      <w:r>
        <w:rPr>
          <w:rFonts w:hint="eastAsia"/>
        </w:rPr>
        <w:t>。</w:t>
      </w:r>
      <w:r>
        <w:t>在肝纤维状态下，</w:t>
      </w:r>
      <w:r>
        <w:rPr>
          <w:rFonts w:hint="eastAsia"/>
        </w:rPr>
        <w:t>Smad2和Smad3</w:t>
      </w:r>
      <w:r>
        <w:t xml:space="preserve">表达增加起正向调节作用，而 </w:t>
      </w:r>
      <w:r>
        <w:rPr>
          <w:rFonts w:hint="eastAsia"/>
        </w:rPr>
        <w:t>Smad7</w:t>
      </w:r>
      <w:r>
        <w:t>表达下降</w:t>
      </w:r>
      <w:r>
        <w:rPr>
          <w:rFonts w:hint="eastAsia"/>
        </w:rPr>
        <w:t>起</w:t>
      </w:r>
      <w:r>
        <w:t>负调节</w:t>
      </w:r>
      <w:r>
        <w:rPr>
          <w:rFonts w:hint="eastAsia"/>
        </w:rPr>
        <w:t>作用</w:t>
      </w:r>
      <w:r>
        <w:rPr>
          <w:vertAlign w:val="superscript"/>
        </w:rPr>
        <w:fldChar w:fldCharType="begin"/>
      </w:r>
      <w:r>
        <w:rPr>
          <w:vertAlign w:val="superscript"/>
        </w:rPr>
        <w:instrText xml:space="preserve"> REF _Ref161318803 \r \h  \* MERGEFORMAT </w:instrText>
      </w:r>
      <w:r>
        <w:rPr>
          <w:vertAlign w:val="superscript"/>
        </w:rPr>
        <w:fldChar w:fldCharType="separate"/>
      </w:r>
      <w:r>
        <w:rPr>
          <w:vertAlign w:val="superscript"/>
        </w:rPr>
        <w:t>[68]</w:t>
      </w:r>
      <w:r>
        <w:rPr>
          <w:vertAlign w:val="superscript"/>
        </w:rPr>
        <w:fldChar w:fldCharType="end"/>
      </w:r>
      <w:r>
        <w:t>。</w:t>
      </w:r>
      <w:r>
        <w:rPr>
          <w:rFonts w:hint="eastAsia"/>
        </w:rPr>
        <w:t>Smad7作为</w:t>
      </w:r>
      <w:r>
        <w:rPr>
          <w:rFonts w:eastAsia="黑体"/>
        </w:rPr>
        <w:t>TGF-β</w:t>
      </w:r>
      <w:r>
        <w:rPr>
          <w:rFonts w:hint="eastAsia" w:eastAsia="黑体"/>
        </w:rPr>
        <w:t>1</w:t>
      </w:r>
      <w:r>
        <w:rPr>
          <w:rFonts w:hint="eastAsia"/>
        </w:rPr>
        <w:t>信号通路中的负调控因子，其表达会受到</w:t>
      </w:r>
      <w:r>
        <w:t>TGF-β1/Smad</w:t>
      </w:r>
      <w:r>
        <w:rPr>
          <w:rFonts w:hint="eastAsia"/>
        </w:rPr>
        <w:t>信号的正反馈诱导。然而Smad7的主要</w:t>
      </w:r>
      <w:r>
        <w:rPr>
          <w:rFonts w:hint="eastAsia"/>
          <w:lang w:val="en-US" w:eastAsia="zh-CN"/>
        </w:rPr>
        <w:t>功能</w:t>
      </w:r>
      <w:r>
        <w:rPr>
          <w:rFonts w:hint="eastAsia"/>
        </w:rPr>
        <w:t>在于负反馈抑制</w:t>
      </w:r>
      <w:r>
        <w:t>TGF-β</w:t>
      </w:r>
      <w:r>
        <w:rPr>
          <w:rFonts w:hint="eastAsia"/>
        </w:rPr>
        <w:t>1受体的活性，通过与受体或R-Smad相互作用来阻止Smad2/3的磷酸化和核转位，从而有效抑制</w:t>
      </w:r>
      <w:r>
        <w:t>TGF-β1/Smad</w:t>
      </w:r>
      <w:r>
        <w:rPr>
          <w:rFonts w:hint="eastAsia"/>
        </w:rPr>
        <w:t>信号通路的持续激活</w:t>
      </w:r>
      <w:r>
        <w:rPr>
          <w:vertAlign w:val="superscript"/>
        </w:rPr>
        <w:fldChar w:fldCharType="begin"/>
      </w:r>
      <w:r>
        <w:rPr>
          <w:vertAlign w:val="superscript"/>
        </w:rPr>
        <w:instrText xml:space="preserve"> </w:instrText>
      </w:r>
      <w:r>
        <w:rPr>
          <w:rFonts w:hint="eastAsia"/>
          <w:vertAlign w:val="superscript"/>
        </w:rPr>
        <w:instrText xml:space="preserve">REF _Ref164193918 \r \h</w:instrText>
      </w:r>
      <w:r>
        <w:rPr>
          <w:vertAlign w:val="superscript"/>
        </w:rPr>
        <w:instrText xml:space="preserve">  \* MERGEFORMAT </w:instrText>
      </w:r>
      <w:r>
        <w:rPr>
          <w:vertAlign w:val="superscript"/>
        </w:rPr>
        <w:fldChar w:fldCharType="separate"/>
      </w:r>
      <w:r>
        <w:rPr>
          <w:vertAlign w:val="superscript"/>
        </w:rPr>
        <w:t>[69]</w:t>
      </w:r>
      <w:r>
        <w:rPr>
          <w:vertAlign w:val="superscript"/>
        </w:rPr>
        <w:fldChar w:fldCharType="end"/>
      </w:r>
      <w:r>
        <w:rPr>
          <w:vertAlign w:val="superscript"/>
          <w:lang w:val="en-US"/>
        </w:rPr>
        <w:t>,</w:t>
      </w:r>
      <w:r>
        <w:rPr>
          <w:vertAlign w:val="superscript"/>
        </w:rPr>
        <w:fldChar w:fldCharType="begin"/>
      </w:r>
      <w:r>
        <w:rPr>
          <w:vertAlign w:val="superscript"/>
        </w:rPr>
        <w:instrText xml:space="preserve"> REF _Ref164193920 \r \h  \* MERGEFORMAT </w:instrText>
      </w:r>
      <w:r>
        <w:rPr>
          <w:vertAlign w:val="superscript"/>
        </w:rPr>
        <w:fldChar w:fldCharType="separate"/>
      </w:r>
      <w:r>
        <w:rPr>
          <w:vertAlign w:val="superscript"/>
        </w:rPr>
        <w:t>[70]</w:t>
      </w:r>
      <w:r>
        <w:rPr>
          <w:vertAlign w:val="superscript"/>
        </w:rPr>
        <w:fldChar w:fldCharType="end"/>
      </w:r>
      <w:r>
        <w:rPr>
          <w:rFonts w:hint="eastAsia"/>
        </w:rPr>
        <w:t>。</w:t>
      </w:r>
    </w:p>
    <w:p>
      <w:pPr>
        <w:pStyle w:val="2"/>
        <w:numPr>
          <w:ilvl w:val="0"/>
          <w:numId w:val="2"/>
        </w:numPr>
      </w:pPr>
      <w:bookmarkStart w:id="96" w:name="_Toc15596"/>
      <w:r>
        <w:rPr>
          <w:rFonts w:hint="eastAsia"/>
        </w:rPr>
        <w:t xml:space="preserve"> </w:t>
      </w:r>
      <w:bookmarkStart w:id="97" w:name="_Toc164609465"/>
      <w:bookmarkStart w:id="98" w:name="_Toc26789"/>
      <w:r>
        <w:rPr>
          <w:rFonts w:hint="eastAsia"/>
        </w:rPr>
        <w:t>实验内容</w:t>
      </w:r>
      <w:bookmarkEnd w:id="96"/>
      <w:bookmarkEnd w:id="97"/>
      <w:bookmarkEnd w:id="98"/>
    </w:p>
    <w:p>
      <w:pPr>
        <w:pStyle w:val="3"/>
        <w:numPr>
          <w:ilvl w:val="1"/>
          <w:numId w:val="2"/>
        </w:numPr>
      </w:pPr>
      <w:bookmarkStart w:id="99" w:name="_Toc22555"/>
      <w:r>
        <w:rPr>
          <w:rFonts w:hint="eastAsia"/>
        </w:rPr>
        <w:t xml:space="preserve"> </w:t>
      </w:r>
      <w:bookmarkStart w:id="100" w:name="_Toc164609466"/>
      <w:bookmarkStart w:id="101" w:name="_Toc25237"/>
      <w:r>
        <w:rPr>
          <w:rFonts w:hint="eastAsia"/>
        </w:rPr>
        <w:t>实验</w:t>
      </w:r>
      <w:bookmarkEnd w:id="99"/>
      <w:r>
        <w:rPr>
          <w:rFonts w:hint="eastAsia"/>
        </w:rPr>
        <w:t>材料</w:t>
      </w:r>
      <w:bookmarkEnd w:id="100"/>
      <w:bookmarkEnd w:id="101"/>
    </w:p>
    <w:p>
      <w:pPr>
        <w:ind w:firstLine="420" w:firstLineChars="0"/>
      </w:pPr>
      <w:r>
        <w:rPr>
          <w:rFonts w:hint="eastAsia"/>
        </w:rPr>
        <w:t>人肝星状LX-2细胞株（货号：CL-0560）购自武汉普诺赛生物科技有限公司。细胞在DMEM高糖完全培养基上贴壁培养，并在5% CO</w:t>
      </w:r>
      <w:r>
        <w:rPr>
          <w:rFonts w:hint="eastAsia"/>
          <w:vertAlign w:val="subscript"/>
        </w:rPr>
        <w:t>2</w:t>
      </w:r>
      <w:r>
        <w:rPr>
          <w:rFonts w:hint="eastAsia"/>
        </w:rPr>
        <w:t>环境的细胞培养箱中维持适宜生长条件。</w:t>
      </w:r>
    </w:p>
    <w:p>
      <w:pPr>
        <w:pStyle w:val="3"/>
        <w:numPr>
          <w:ilvl w:val="1"/>
          <w:numId w:val="2"/>
        </w:numPr>
      </w:pPr>
      <w:bookmarkStart w:id="102" w:name="_Toc29573"/>
      <w:r>
        <w:rPr>
          <w:rFonts w:hint="eastAsia"/>
        </w:rPr>
        <w:t xml:space="preserve"> </w:t>
      </w:r>
      <w:bookmarkStart w:id="103" w:name="_Toc164609467"/>
      <w:bookmarkStart w:id="104" w:name="_Toc22023"/>
      <w:r>
        <w:rPr>
          <w:rFonts w:hint="eastAsia"/>
        </w:rPr>
        <w:t>实验试剂</w:t>
      </w:r>
      <w:bookmarkEnd w:id="102"/>
      <w:bookmarkEnd w:id="103"/>
      <w:bookmarkEnd w:id="104"/>
    </w:p>
    <w:tbl>
      <w:tblPr>
        <w:tblStyle w:val="16"/>
        <w:tblW w:w="0" w:type="auto"/>
        <w:jc w:val="center"/>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Layout w:type="fixed"/>
        <w:tblCellMar>
          <w:top w:w="0" w:type="dxa"/>
          <w:left w:w="108" w:type="dxa"/>
          <w:bottom w:w="0" w:type="dxa"/>
          <w:right w:w="108" w:type="dxa"/>
        </w:tblCellMar>
      </w:tblPr>
      <w:tblGrid>
        <w:gridCol w:w="4261"/>
        <w:gridCol w:w="4261"/>
      </w:tblGrid>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t>实验试剂</w:t>
            </w:r>
          </w:p>
        </w:tc>
        <w:tc>
          <w:tcPr>
            <w:tcW w:w="4261" w:type="dxa"/>
          </w:tcPr>
          <w:p>
            <w:pPr>
              <w:jc w:val="center"/>
            </w:pPr>
            <w:r>
              <w:t>生产厂家</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rPr>
                <w:rFonts w:hint="eastAsia"/>
              </w:rPr>
              <w:t>SCL</w:t>
            </w:r>
          </w:p>
        </w:tc>
        <w:tc>
          <w:tcPr>
            <w:tcW w:w="4261" w:type="dxa"/>
          </w:tcPr>
          <w:p>
            <w:pPr>
              <w:jc w:val="center"/>
            </w:pPr>
            <w:r>
              <w:rPr>
                <w:rFonts w:hint="eastAsia"/>
              </w:rPr>
              <w:t>源叶生物有限公司</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rPr>
                <w:rFonts w:ascii="宋体" w:hAnsi="宋体"/>
              </w:rPr>
            </w:pPr>
            <w:r>
              <w:rPr>
                <w:rFonts w:ascii="宋体" w:hAnsi="宋体"/>
              </w:rPr>
              <w:t>四氯化</w:t>
            </w:r>
            <w:r>
              <w:rPr>
                <w:rFonts w:hint="eastAsia" w:ascii="宋体" w:hAnsi="宋体"/>
              </w:rPr>
              <w:t>碳</w:t>
            </w:r>
            <w:r>
              <w:t xml:space="preserve"> </w:t>
            </w:r>
            <w:r>
              <w:rPr>
                <w:rFonts w:hint="eastAsia"/>
              </w:rPr>
              <w:t>(</w:t>
            </w:r>
            <w:r>
              <w:t>CCl</w:t>
            </w:r>
            <w:r>
              <w:rPr>
                <w:vertAlign w:val="subscript"/>
              </w:rPr>
              <w:t>4</w:t>
            </w:r>
            <w:r>
              <w:rPr>
                <w:rFonts w:hint="eastAsia"/>
              </w:rPr>
              <w:t>)</w:t>
            </w:r>
          </w:p>
        </w:tc>
        <w:tc>
          <w:tcPr>
            <w:tcW w:w="4261" w:type="dxa"/>
          </w:tcPr>
          <w:p>
            <w:pPr>
              <w:jc w:val="center"/>
            </w:pPr>
            <w:r>
              <w:rPr>
                <w:rFonts w:hint="eastAsia"/>
                <w:lang w:eastAsia="zh-CN"/>
              </w:rPr>
              <w:t>上海</w:t>
            </w:r>
            <w:r>
              <w:t>阿拉丁</w:t>
            </w:r>
            <w:r>
              <w:rPr>
                <w:rFonts w:hint="eastAsia"/>
                <w:lang w:eastAsia="zh-CN"/>
              </w:rPr>
              <w:t>生化科技股份有限公司</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t>橄榄油</w:t>
            </w:r>
          </w:p>
        </w:tc>
        <w:tc>
          <w:tcPr>
            <w:tcW w:w="4261" w:type="dxa"/>
          </w:tcPr>
          <w:p>
            <w:pPr>
              <w:jc w:val="center"/>
            </w:pPr>
            <w:r>
              <w:rPr>
                <w:rFonts w:hint="eastAsia"/>
                <w:lang w:eastAsia="zh-CN"/>
              </w:rPr>
              <w:t>上海</w:t>
            </w:r>
            <w:r>
              <w:t>阿拉丁</w:t>
            </w:r>
            <w:r>
              <w:rPr>
                <w:rFonts w:hint="eastAsia"/>
                <w:lang w:eastAsia="zh-CN"/>
              </w:rPr>
              <w:t>生化科技股份有限公司</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t>异丙醇</w:t>
            </w:r>
          </w:p>
        </w:tc>
        <w:tc>
          <w:tcPr>
            <w:tcW w:w="4261" w:type="dxa"/>
          </w:tcPr>
          <w:p>
            <w:pPr>
              <w:jc w:val="center"/>
            </w:pPr>
            <w:r>
              <w:rPr>
                <w:rFonts w:hint="eastAsia"/>
              </w:rPr>
              <w:t>国药集团化学试剂有限公司</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rPr>
                <w:rFonts w:hint="eastAsia"/>
                <w:lang w:val="zh-CN"/>
              </w:rPr>
              <w:t>彩色预染蛋白分子量标准（</w:t>
            </w:r>
            <w:r>
              <w:rPr>
                <w:lang w:val="zh-CN"/>
              </w:rPr>
              <w:t>Marker</w:t>
            </w:r>
            <w:r>
              <w:rPr>
                <w:rFonts w:hint="eastAsia"/>
                <w:lang w:val="zh-CN"/>
              </w:rPr>
              <w:t>）</w:t>
            </w:r>
          </w:p>
        </w:tc>
        <w:tc>
          <w:tcPr>
            <w:tcW w:w="4261" w:type="dxa"/>
          </w:tcPr>
          <w:p>
            <w:pPr>
              <w:jc w:val="center"/>
            </w:pPr>
            <w:r>
              <w:rPr>
                <w:rFonts w:hint="eastAsia"/>
              </w:rPr>
              <w:t>武汉爱博泰克生物科技有限公司</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rPr>
                <w:rFonts w:hint="eastAsia"/>
              </w:rPr>
              <w:t>BeyoECL Plus A液</w:t>
            </w:r>
          </w:p>
        </w:tc>
        <w:tc>
          <w:tcPr>
            <w:tcW w:w="4261" w:type="dxa"/>
          </w:tcPr>
          <w:p>
            <w:pPr>
              <w:jc w:val="center"/>
            </w:pPr>
            <w:r>
              <w:rPr>
                <w:rFonts w:hint="eastAsia"/>
              </w:rPr>
              <w:t>上海碧云天生物科技有限公司</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rPr>
                <w:rFonts w:hint="eastAsia"/>
              </w:rPr>
              <w:t>BeyoECL Plus B液</w:t>
            </w:r>
          </w:p>
        </w:tc>
        <w:tc>
          <w:tcPr>
            <w:tcW w:w="4261" w:type="dxa"/>
          </w:tcPr>
          <w:p>
            <w:pPr>
              <w:jc w:val="center"/>
            </w:pPr>
            <w:r>
              <w:rPr>
                <w:rFonts w:hint="eastAsia"/>
              </w:rPr>
              <w:t>上海碧云天生物科技有限公司</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t>α-SMA</w:t>
            </w:r>
          </w:p>
        </w:tc>
        <w:tc>
          <w:tcPr>
            <w:tcW w:w="4261" w:type="dxa"/>
          </w:tcPr>
          <w:p>
            <w:pPr>
              <w:jc w:val="center"/>
            </w:pPr>
            <w:r>
              <w:rPr>
                <w:rFonts w:hint="eastAsia"/>
              </w:rPr>
              <w:t>上海碧云天生物科技有限公司</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t>collagen I</w:t>
            </w:r>
          </w:p>
        </w:tc>
        <w:tc>
          <w:tcPr>
            <w:tcW w:w="4261" w:type="dxa"/>
          </w:tcPr>
          <w:p>
            <w:pPr>
              <w:jc w:val="center"/>
            </w:pPr>
            <w:r>
              <w:rPr>
                <w:rFonts w:hint="eastAsia"/>
              </w:rPr>
              <w:t>上海碧云天生物科技有限公司</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rPr>
                <w:rFonts w:hint="eastAsia"/>
              </w:rPr>
              <w:t>Western</w:t>
            </w:r>
            <w:r>
              <w:rPr>
                <w:rFonts w:hint="eastAsia" w:ascii="宋体" w:hAnsi="宋体"/>
              </w:rPr>
              <w:t>及</w:t>
            </w:r>
            <w:r>
              <w:rPr>
                <w:rFonts w:hint="eastAsia"/>
              </w:rPr>
              <w:t>I</w:t>
            </w:r>
            <w:r>
              <w:t>P</w:t>
            </w:r>
            <w:r>
              <w:rPr>
                <w:rFonts w:hint="eastAsia" w:ascii="宋体" w:hAnsi="宋体"/>
              </w:rPr>
              <w:t>细胞裂解液</w:t>
            </w:r>
          </w:p>
        </w:tc>
        <w:tc>
          <w:tcPr>
            <w:tcW w:w="4261" w:type="dxa"/>
          </w:tcPr>
          <w:p>
            <w:pPr>
              <w:jc w:val="center"/>
            </w:pPr>
            <w:r>
              <w:rPr>
                <w:rFonts w:hint="eastAsia"/>
              </w:rPr>
              <w:t>上海碧云天生物科技有限公司</w:t>
            </w:r>
          </w:p>
        </w:tc>
      </w:tr>
    </w:tbl>
    <w:p>
      <w:pPr>
        <w:jc w:val="center"/>
      </w:pPr>
    </w:p>
    <w:p>
      <w:pPr>
        <w:pStyle w:val="3"/>
        <w:numPr>
          <w:ilvl w:val="1"/>
          <w:numId w:val="2"/>
        </w:numPr>
      </w:pPr>
      <w:bookmarkStart w:id="105" w:name="_Toc6832"/>
      <w:r>
        <w:rPr>
          <w:rFonts w:hint="eastAsia"/>
        </w:rPr>
        <w:t xml:space="preserve"> </w:t>
      </w:r>
      <w:bookmarkStart w:id="106" w:name="_Toc164609468"/>
      <w:bookmarkStart w:id="107" w:name="_Toc12510"/>
      <w:r>
        <w:rPr>
          <w:rFonts w:hint="eastAsia"/>
        </w:rPr>
        <w:t>实验仪器</w:t>
      </w:r>
      <w:bookmarkEnd w:id="105"/>
      <w:bookmarkEnd w:id="106"/>
      <w:bookmarkEnd w:id="107"/>
    </w:p>
    <w:tbl>
      <w:tblPr>
        <w:tblStyle w:val="16"/>
        <w:tblW w:w="0" w:type="auto"/>
        <w:jc w:val="center"/>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Layout w:type="fixed"/>
        <w:tblCellMar>
          <w:top w:w="0" w:type="dxa"/>
          <w:left w:w="108" w:type="dxa"/>
          <w:bottom w:w="0" w:type="dxa"/>
          <w:right w:w="108" w:type="dxa"/>
        </w:tblCellMar>
      </w:tblPr>
      <w:tblGrid>
        <w:gridCol w:w="4261"/>
        <w:gridCol w:w="4261"/>
      </w:tblGrid>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t>实验仪器</w:t>
            </w:r>
          </w:p>
        </w:tc>
        <w:tc>
          <w:tcPr>
            <w:tcW w:w="4261" w:type="dxa"/>
          </w:tcPr>
          <w:p>
            <w:pPr>
              <w:jc w:val="center"/>
            </w:pPr>
            <w:r>
              <w:t>生产厂家</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rPr>
                <w:rFonts w:hint="eastAsia"/>
              </w:rPr>
              <w:t>TissueMaster</w:t>
            </w:r>
            <w:r>
              <w:rPr>
                <w:rFonts w:hint="eastAsia" w:ascii="宋体" w:hAnsi="宋体"/>
              </w:rPr>
              <w:t>™组织研磨仪</w:t>
            </w:r>
          </w:p>
        </w:tc>
        <w:tc>
          <w:tcPr>
            <w:tcW w:w="4261" w:type="dxa"/>
          </w:tcPr>
          <w:p>
            <w:pPr>
              <w:jc w:val="center"/>
            </w:pPr>
            <w:r>
              <w:rPr>
                <w:rFonts w:hint="eastAsia"/>
              </w:rPr>
              <w:t>上海碧云天生物科技有限公司</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rPr>
                <w:rFonts w:hint="eastAsia"/>
              </w:rPr>
              <w:t>Western blot</w:t>
            </w:r>
            <w:r>
              <w:rPr>
                <w:rFonts w:hint="eastAsia" w:ascii="宋体" w:hAnsi="宋体"/>
              </w:rPr>
              <w:t>显影仪</w:t>
            </w:r>
          </w:p>
        </w:tc>
        <w:tc>
          <w:tcPr>
            <w:tcW w:w="4261" w:type="dxa"/>
          </w:tcPr>
          <w:p>
            <w:pPr>
              <w:jc w:val="center"/>
            </w:pPr>
            <w:r>
              <w:rPr>
                <w:rFonts w:hint="eastAsia"/>
              </w:rPr>
              <w:t>上海天能生命科学有限公司</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rPr>
                <w:rFonts w:hint="eastAsia"/>
              </w:rPr>
              <w:t>电泳仪</w:t>
            </w:r>
          </w:p>
        </w:tc>
        <w:tc>
          <w:tcPr>
            <w:tcW w:w="4261" w:type="dxa"/>
          </w:tcPr>
          <w:p>
            <w:pPr>
              <w:jc w:val="center"/>
            </w:pPr>
            <w:r>
              <w:rPr>
                <w:rFonts w:hint="eastAsia"/>
              </w:rPr>
              <w:t>北京六一生物科技有限公司</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rPr>
                <w:rFonts w:hint="eastAsia"/>
              </w:rPr>
              <w:t>手掌型离心机</w:t>
            </w:r>
          </w:p>
        </w:tc>
        <w:tc>
          <w:tcPr>
            <w:tcW w:w="4261" w:type="dxa"/>
          </w:tcPr>
          <w:p>
            <w:pPr>
              <w:jc w:val="center"/>
            </w:pPr>
            <w:r>
              <w:rPr>
                <w:rFonts w:hint="eastAsia"/>
              </w:rPr>
              <w:t>长沙平凡仪器仪表有限公司</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rPr>
                <w:rFonts w:hint="eastAsia"/>
              </w:rPr>
              <w:t>低温高速离心机</w:t>
            </w:r>
          </w:p>
        </w:tc>
        <w:tc>
          <w:tcPr>
            <w:tcW w:w="4261" w:type="dxa"/>
          </w:tcPr>
          <w:p>
            <w:pPr>
              <w:jc w:val="center"/>
            </w:pPr>
            <w:r>
              <w:rPr>
                <w:rFonts w:hint="eastAsia"/>
              </w:rPr>
              <w:t>上海科雅生物科技有限公司</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rPr>
                <w:rFonts w:hint="eastAsia"/>
              </w:rPr>
              <w:t>恒温水浴锅</w:t>
            </w:r>
          </w:p>
        </w:tc>
        <w:tc>
          <w:tcPr>
            <w:tcW w:w="4261" w:type="dxa"/>
          </w:tcPr>
          <w:p>
            <w:pPr>
              <w:jc w:val="center"/>
            </w:pPr>
            <w:r>
              <w:rPr>
                <w:rFonts w:hint="eastAsia"/>
              </w:rPr>
              <w:t>上海亚荣生化仪器厂</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rPr>
                <w:rFonts w:hint="eastAsia"/>
              </w:rPr>
              <w:t>高功率数控超声波清洗器</w:t>
            </w:r>
          </w:p>
        </w:tc>
        <w:tc>
          <w:tcPr>
            <w:tcW w:w="4261" w:type="dxa"/>
          </w:tcPr>
          <w:p>
            <w:pPr>
              <w:jc w:val="center"/>
            </w:pPr>
            <w:r>
              <w:rPr>
                <w:rFonts w:hint="eastAsia"/>
              </w:rPr>
              <w:t>昆山市超声仪器有限公司</w:t>
            </w:r>
          </w:p>
        </w:tc>
      </w:tr>
      <w:tr>
        <w:tblPrEx>
          <w:tblBorders>
            <w:top w:val="single" w:color="auto" w:sz="12" w:space="0"/>
            <w:left w:val="dashSmallGap" w:color="BEBEBE" w:themeColor="background1" w:themeShade="BF" w:sz="4" w:space="0"/>
            <w:bottom w:val="single" w:color="auto" w:sz="12" w:space="0"/>
            <w:right w:val="dashSmallGap" w:color="BEBEBE" w:themeColor="background1" w:themeShade="BF" w:sz="4" w:space="0"/>
            <w:insideH w:val="dashSmallGap" w:color="BEBEBE" w:themeColor="background1" w:themeShade="BF" w:sz="4" w:space="0"/>
            <w:insideV w:val="dashSmallGap" w:color="BEBEBE" w:themeColor="background1" w:themeShade="BF" w:sz="4" w:space="0"/>
          </w:tblBorders>
          <w:tblCellMar>
            <w:top w:w="0" w:type="dxa"/>
            <w:left w:w="108" w:type="dxa"/>
            <w:bottom w:w="0" w:type="dxa"/>
            <w:right w:w="108" w:type="dxa"/>
          </w:tblCellMar>
        </w:tblPrEx>
        <w:trPr>
          <w:jc w:val="center"/>
        </w:trPr>
        <w:tc>
          <w:tcPr>
            <w:tcW w:w="4261" w:type="dxa"/>
          </w:tcPr>
          <w:p>
            <w:pPr>
              <w:jc w:val="center"/>
            </w:pPr>
            <w:r>
              <w:rPr>
                <w:rFonts w:hint="eastAsia"/>
              </w:rPr>
              <w:t>LSM900激光共聚焦显微镜</w:t>
            </w:r>
          </w:p>
        </w:tc>
        <w:tc>
          <w:tcPr>
            <w:tcW w:w="4261" w:type="dxa"/>
          </w:tcPr>
          <w:p>
            <w:pPr>
              <w:jc w:val="center"/>
            </w:pPr>
            <w:r>
              <w:rPr>
                <w:rFonts w:hint="eastAsia"/>
              </w:rPr>
              <w:t>卡尔蔡司（上海）公司</w:t>
            </w:r>
          </w:p>
        </w:tc>
      </w:tr>
    </w:tbl>
    <w:p>
      <w:pPr>
        <w:pStyle w:val="2"/>
        <w:numPr>
          <w:ilvl w:val="0"/>
          <w:numId w:val="2"/>
        </w:numPr>
      </w:pPr>
      <w:bookmarkStart w:id="108" w:name="_Toc5626"/>
      <w:r>
        <w:rPr>
          <w:rFonts w:hint="eastAsia"/>
        </w:rPr>
        <w:t xml:space="preserve"> </w:t>
      </w:r>
      <w:bookmarkStart w:id="109" w:name="_Toc164609469"/>
      <w:bookmarkStart w:id="110" w:name="_Toc13829"/>
      <w:r>
        <w:rPr>
          <w:rFonts w:hint="eastAsia"/>
        </w:rPr>
        <w:t>实验方法</w:t>
      </w:r>
      <w:bookmarkEnd w:id="108"/>
      <w:bookmarkEnd w:id="109"/>
      <w:bookmarkEnd w:id="110"/>
    </w:p>
    <w:p>
      <w:pPr>
        <w:pStyle w:val="3"/>
        <w:numPr>
          <w:ilvl w:val="1"/>
          <w:numId w:val="2"/>
        </w:numPr>
      </w:pPr>
      <w:bookmarkStart w:id="111" w:name="_Toc8430"/>
      <w:r>
        <w:rPr>
          <w:rFonts w:hint="eastAsia"/>
        </w:rPr>
        <w:t xml:space="preserve"> </w:t>
      </w:r>
      <w:bookmarkStart w:id="112" w:name="_Toc164609470"/>
      <w:bookmarkStart w:id="113" w:name="_Toc1528"/>
      <w:r>
        <w:rPr>
          <w:rFonts w:hint="eastAsia"/>
        </w:rPr>
        <w:t>细胞培养</w:t>
      </w:r>
      <w:bookmarkEnd w:id="111"/>
      <w:bookmarkEnd w:id="112"/>
      <w:bookmarkEnd w:id="113"/>
    </w:p>
    <w:p>
      <w:pPr>
        <w:pStyle w:val="4"/>
        <w:numPr>
          <w:ilvl w:val="2"/>
          <w:numId w:val="2"/>
        </w:numPr>
        <w:tabs>
          <w:tab w:val="clear" w:pos="420"/>
        </w:tabs>
        <w:rPr>
          <w:rFonts w:hint="eastAsia"/>
        </w:rPr>
      </w:pPr>
      <w:bookmarkStart w:id="114" w:name="_Toc23564"/>
      <w:r>
        <w:rPr>
          <w:rFonts w:hint="eastAsia"/>
        </w:rPr>
        <w:t xml:space="preserve"> </w:t>
      </w:r>
      <w:bookmarkStart w:id="115" w:name="_Toc164609471"/>
      <w:bookmarkStart w:id="116" w:name="_Toc22168"/>
      <w:r>
        <w:rPr>
          <w:rFonts w:hint="eastAsia"/>
        </w:rPr>
        <w:t>细胞冻存</w:t>
      </w:r>
      <w:bookmarkEnd w:id="114"/>
      <w:bookmarkEnd w:id="115"/>
      <w:bookmarkEnd w:id="116"/>
    </w:p>
    <w:p>
      <w:pPr>
        <w:ind w:firstLine="420" w:firstLineChars="0"/>
      </w:pPr>
      <w:r>
        <w:rPr>
          <w:rFonts w:hint="eastAsia"/>
        </w:rPr>
        <w:t>细胞冻存旨在长期保存细胞活性和正常功能，同时最大限度的减少冰晶形成对细胞的损害。</w:t>
      </w:r>
      <w:r>
        <w:rPr>
          <w:rFonts w:hint="eastAsia"/>
          <w:lang w:val="en-US" w:eastAsia="zh-CN"/>
        </w:rPr>
        <w:t>首先，</w:t>
      </w:r>
      <w:r>
        <w:rPr>
          <w:rFonts w:hint="eastAsia"/>
        </w:rPr>
        <w:t>选择处于对数生长期且活性良好无污染的细胞，用5</w:t>
      </w:r>
      <w:r>
        <w:t xml:space="preserve"> </w:t>
      </w:r>
      <w:r>
        <w:rPr>
          <w:rFonts w:hint="eastAsia"/>
        </w:rPr>
        <w:t>m</w:t>
      </w:r>
      <w:r>
        <w:t>L</w:t>
      </w:r>
      <w:r>
        <w:rPr>
          <w:rFonts w:hint="eastAsia"/>
        </w:rPr>
        <w:t>无菌PBS温和的洗涤细胞3次以去除旧培养液和代谢废物。</w:t>
      </w:r>
      <w:r>
        <w:rPr>
          <w:rFonts w:hint="eastAsia"/>
          <w:lang w:val="en-US" w:eastAsia="zh-CN"/>
        </w:rPr>
        <w:t>随后，</w:t>
      </w:r>
      <w:r>
        <w:rPr>
          <w:rFonts w:hint="eastAsia"/>
        </w:rPr>
        <w:t>加入1</w:t>
      </w:r>
      <w:r>
        <w:t xml:space="preserve"> </w:t>
      </w:r>
      <w:r>
        <w:rPr>
          <w:rFonts w:hint="eastAsia"/>
        </w:rPr>
        <w:t>m</w:t>
      </w:r>
      <w:r>
        <w:t>L</w:t>
      </w:r>
      <w:r>
        <w:rPr>
          <w:rFonts w:hint="eastAsia"/>
        </w:rPr>
        <w:t>胰蛋白酶溶液孵育30</w:t>
      </w:r>
      <w:r>
        <w:t xml:space="preserve"> </w:t>
      </w:r>
      <w:r>
        <w:rPr>
          <w:rFonts w:hint="eastAsia"/>
        </w:rPr>
        <w:t>s以松散细胞间连接，然后移除胰蛋白酶并用基础培养液终止消化。细胞低速离心5</w:t>
      </w:r>
      <w:r>
        <w:t xml:space="preserve"> </w:t>
      </w:r>
      <w:r>
        <w:rPr>
          <w:rFonts w:hint="eastAsia"/>
        </w:rPr>
        <w:t>min，</w:t>
      </w:r>
      <w:r>
        <w:rPr>
          <w:rFonts w:hint="eastAsia"/>
          <w:lang w:val="en-US" w:eastAsia="zh-CN"/>
        </w:rPr>
        <w:t>得到的细胞沉淀</w:t>
      </w:r>
      <w:r>
        <w:rPr>
          <w:rFonts w:hint="eastAsia"/>
        </w:rPr>
        <w:t>用5</w:t>
      </w:r>
      <w:r>
        <w:t xml:space="preserve"> </w:t>
      </w:r>
      <w:r>
        <w:rPr>
          <w:rFonts w:hint="eastAsia"/>
        </w:rPr>
        <w:t>m</w:t>
      </w:r>
      <w:r>
        <w:t>L</w:t>
      </w:r>
      <w:r>
        <w:rPr>
          <w:rFonts w:hint="eastAsia"/>
        </w:rPr>
        <w:t>含有冷冻保护剂（DMEM/F12基本培养基：胎牛血清：DMSO=5</w:t>
      </w:r>
      <w:r>
        <w:rPr>
          <w:rFonts w:hint="eastAsia"/>
          <w:lang w:val="en-US" w:eastAsia="zh-CN"/>
        </w:rPr>
        <w:t xml:space="preserve"> </w:t>
      </w:r>
      <w:r>
        <w:rPr>
          <w:rFonts w:hint="eastAsia"/>
        </w:rPr>
        <w:t>: 4</w:t>
      </w:r>
      <w:bookmarkStart w:id="117" w:name="OLE_LINK11"/>
      <w:r>
        <w:rPr>
          <w:rFonts w:hint="eastAsia"/>
          <w:lang w:val="en-US" w:eastAsia="zh-CN"/>
        </w:rPr>
        <w:t xml:space="preserve"> </w:t>
      </w:r>
      <w:r>
        <w:rPr>
          <w:rFonts w:hint="eastAsia"/>
        </w:rPr>
        <w:t xml:space="preserve">: </w:t>
      </w:r>
      <w:bookmarkEnd w:id="117"/>
      <w:r>
        <w:rPr>
          <w:rFonts w:hint="eastAsia"/>
        </w:rPr>
        <w:t>1）的细胞培养液重悬，以减少冰晶形成。</w:t>
      </w:r>
      <w:r>
        <w:rPr>
          <w:rFonts w:hint="eastAsia"/>
          <w:lang w:val="en-US" w:eastAsia="zh-CN"/>
        </w:rPr>
        <w:t>最后</w:t>
      </w:r>
      <w:r>
        <w:rPr>
          <w:rFonts w:hint="eastAsia"/>
        </w:rPr>
        <w:t xml:space="preserve">将细胞悬液均分至标记的冻存管中密封 ，存储于-80 </w:t>
      </w:r>
      <w:r>
        <w:t>℃</w:t>
      </w:r>
      <w:r>
        <w:rPr>
          <w:rFonts w:hint="eastAsia"/>
        </w:rPr>
        <w:t>冰箱中。</w:t>
      </w:r>
    </w:p>
    <w:p>
      <w:pPr>
        <w:pStyle w:val="4"/>
        <w:numPr>
          <w:ilvl w:val="2"/>
          <w:numId w:val="2"/>
        </w:numPr>
        <w:tabs>
          <w:tab w:val="clear" w:pos="420"/>
        </w:tabs>
        <w:rPr>
          <w:rFonts w:hint="eastAsia"/>
        </w:rPr>
      </w:pPr>
      <w:bookmarkStart w:id="118" w:name="_Toc24434"/>
      <w:r>
        <w:rPr>
          <w:rFonts w:hint="eastAsia"/>
        </w:rPr>
        <w:t xml:space="preserve"> </w:t>
      </w:r>
      <w:bookmarkStart w:id="119" w:name="_Toc164609472"/>
      <w:bookmarkStart w:id="120" w:name="_Toc18240"/>
      <w:r>
        <w:rPr>
          <w:rFonts w:hint="eastAsia"/>
        </w:rPr>
        <w:t>细胞复苏</w:t>
      </w:r>
      <w:bookmarkEnd w:id="118"/>
      <w:bookmarkEnd w:id="119"/>
      <w:bookmarkEnd w:id="120"/>
    </w:p>
    <w:p>
      <w:pPr>
        <w:ind w:firstLine="420" w:firstLineChars="0"/>
      </w:pPr>
      <w:r>
        <w:rPr>
          <w:rFonts w:hint="eastAsia"/>
        </w:rPr>
        <w:t>细胞复苏是从冷冻状态中</w:t>
      </w:r>
      <w:r>
        <w:rPr>
          <w:rFonts w:hint="eastAsia"/>
          <w:lang w:eastAsia="zh-CN"/>
        </w:rPr>
        <w:t>唤醒</w:t>
      </w:r>
      <w:r>
        <w:rPr>
          <w:rFonts w:hint="eastAsia"/>
        </w:rPr>
        <w:t>并恢复细胞</w:t>
      </w:r>
      <w:r>
        <w:rPr>
          <w:rFonts w:hint="eastAsia"/>
          <w:lang w:eastAsia="zh-CN"/>
        </w:rPr>
        <w:t>正常生理功能</w:t>
      </w:r>
      <w:r>
        <w:rPr>
          <w:rFonts w:hint="eastAsia"/>
        </w:rPr>
        <w:t>的过程，以确保细胞重新具备生长和分裂能力。从</w:t>
      </w:r>
      <w:r>
        <w:t>-80 ℃</w:t>
      </w:r>
      <w:r>
        <w:rPr>
          <w:rFonts w:hint="eastAsia"/>
        </w:rPr>
        <w:t>冰箱中取出封装LX</w:t>
      </w:r>
      <w:r>
        <w:t>-2</w:t>
      </w:r>
      <w:r>
        <w:rPr>
          <w:rFonts w:hint="eastAsia"/>
        </w:rPr>
        <w:t>细胞的冻存管，将其放入到</w:t>
      </w:r>
      <w:r>
        <w:t>37 ℃</w:t>
      </w:r>
      <w:r>
        <w:rPr>
          <w:rFonts w:hint="eastAsia"/>
        </w:rPr>
        <w:t>水浴并温和摇晃，保证细胞悬液均匀受热以防细胞因温度骤变受损。待冻存液完全融化后，迅速转移至预冷的无菌EP管，并加入适量37</w:t>
      </w:r>
      <w:r>
        <w:t>℃</w:t>
      </w:r>
      <w:r>
        <w:rPr>
          <w:rFonts w:hint="eastAsia"/>
        </w:rPr>
        <w:t>预热的细胞培养液以稀释冻存液。离心后去掉上清，使用新鲜预热的</w:t>
      </w:r>
      <w:r>
        <w:t xml:space="preserve">5 </w:t>
      </w:r>
      <w:r>
        <w:rPr>
          <w:rFonts w:hint="eastAsia"/>
        </w:rPr>
        <w:t>mL</w:t>
      </w:r>
      <w:r>
        <w:t>DMEM</w:t>
      </w:r>
      <w:r>
        <w:rPr>
          <w:rFonts w:hint="eastAsia"/>
        </w:rPr>
        <w:t>完全培养液重悬细胞，将复苏细胞转移至细胞培养瓶中，置于</w:t>
      </w:r>
      <w:r>
        <w:t>37 ℃</w:t>
      </w:r>
      <w:r>
        <w:rPr>
          <w:rFonts w:hint="eastAsia"/>
        </w:rPr>
        <w:t>、5%CO</w:t>
      </w:r>
      <w:r>
        <w:rPr>
          <w:rFonts w:hint="eastAsia"/>
          <w:vertAlign w:val="subscript"/>
        </w:rPr>
        <w:t>2</w:t>
      </w:r>
      <w:r>
        <w:rPr>
          <w:rFonts w:ascii="宋体" w:hAnsi="宋体"/>
        </w:rPr>
        <w:t>恒温培养箱</w:t>
      </w:r>
      <w:r>
        <w:rPr>
          <w:rFonts w:hint="eastAsia" w:ascii="宋体" w:hAnsi="宋体"/>
        </w:rPr>
        <w:t>，细胞将开始恢复正常生长。</w:t>
      </w:r>
    </w:p>
    <w:p>
      <w:pPr>
        <w:pStyle w:val="4"/>
        <w:numPr>
          <w:ilvl w:val="2"/>
          <w:numId w:val="2"/>
        </w:numPr>
        <w:tabs>
          <w:tab w:val="clear" w:pos="420"/>
        </w:tabs>
        <w:rPr>
          <w:rFonts w:hint="eastAsia"/>
        </w:rPr>
      </w:pPr>
      <w:bookmarkStart w:id="121" w:name="_Toc7407"/>
      <w:r>
        <w:rPr>
          <w:rFonts w:hint="eastAsia"/>
        </w:rPr>
        <w:t xml:space="preserve"> </w:t>
      </w:r>
      <w:bookmarkStart w:id="122" w:name="_Toc164609473"/>
      <w:bookmarkStart w:id="123" w:name="_Toc8672"/>
      <w:r>
        <w:rPr>
          <w:rFonts w:hint="eastAsia"/>
        </w:rPr>
        <w:t>细胞传代</w:t>
      </w:r>
      <w:bookmarkEnd w:id="121"/>
      <w:bookmarkEnd w:id="122"/>
      <w:bookmarkEnd w:id="123"/>
    </w:p>
    <w:p>
      <w:pPr>
        <w:ind w:firstLine="420" w:firstLineChars="0"/>
      </w:pPr>
      <w:r>
        <w:rPr>
          <w:rFonts w:hint="eastAsia"/>
        </w:rPr>
        <w:t xml:space="preserve">细胞传代是当细胞在培养瓶中细胞密度到达80% </w:t>
      </w:r>
      <w:r>
        <w:rPr>
          <w:rFonts w:hint="eastAsia"/>
          <w:lang w:val="en-US" w:eastAsia="zh-CN"/>
        </w:rPr>
        <w:t>~</w:t>
      </w:r>
      <w:r>
        <w:rPr>
          <w:rFonts w:hint="eastAsia"/>
        </w:rPr>
        <w:t xml:space="preserve"> 90%时，通过消化、收集并接种至新容器的过程。首先，从细胞培养箱中取</w:t>
      </w:r>
      <w:r>
        <w:t>LX-2</w:t>
      </w:r>
      <w:r>
        <w:rPr>
          <w:rFonts w:hint="eastAsia"/>
        </w:rPr>
        <w:t>细胞并弃去原有培养液，使用5</w:t>
      </w:r>
      <w:r>
        <w:t xml:space="preserve"> </w:t>
      </w:r>
      <w:r>
        <w:rPr>
          <w:rFonts w:hint="eastAsia"/>
        </w:rPr>
        <w:t>mL无菌PBS洗涤3次后加入1</w:t>
      </w:r>
      <w:r>
        <w:t xml:space="preserve"> </w:t>
      </w:r>
      <w:r>
        <w:rPr>
          <w:rFonts w:hint="eastAsia"/>
        </w:rPr>
        <w:t>mL胰蛋白酶进行细胞消化，使细胞从瓶壁和底部脱离从而形成单细胞悬浮液。随后，在显微镜下观察细胞若无明显回缩，立即加入5 mL完全培养液</w:t>
      </w:r>
      <w:r>
        <w:rPr>
          <w:rFonts w:hint="eastAsia"/>
          <w:lang w:val="en-US" w:eastAsia="zh-CN"/>
        </w:rPr>
        <w:t>停止</w:t>
      </w:r>
      <w:r>
        <w:rPr>
          <w:rFonts w:hint="eastAsia"/>
        </w:rPr>
        <w:t>消化，离心去除上清液</w:t>
      </w:r>
      <w:r>
        <w:rPr>
          <w:rFonts w:hint="eastAsia"/>
          <w:lang w:val="en-US" w:eastAsia="zh-CN"/>
        </w:rPr>
        <w:t>后</w:t>
      </w:r>
      <w:r>
        <w:rPr>
          <w:rFonts w:hint="eastAsia"/>
        </w:rPr>
        <w:t>用新鲜培养液重悬细胞沉淀。最后，计算细胞浓度并按1</w:t>
      </w:r>
      <w:r>
        <w:rPr>
          <w:rFonts w:hint="eastAsia"/>
          <w:lang w:val="en-US" w:eastAsia="zh-CN"/>
        </w:rPr>
        <w:t xml:space="preserve"> </w:t>
      </w:r>
      <w:r>
        <w:rPr>
          <w:rFonts w:hint="eastAsia"/>
        </w:rPr>
        <w:t>: 3的接种比例转移至新容器，置于恒温箱中继续培养，并定期更换培养液。</w:t>
      </w:r>
    </w:p>
    <w:p>
      <w:pPr>
        <w:pStyle w:val="3"/>
        <w:numPr>
          <w:ilvl w:val="1"/>
          <w:numId w:val="2"/>
        </w:numPr>
      </w:pPr>
      <w:r>
        <w:rPr>
          <w:rFonts w:hint="eastAsia"/>
        </w:rPr>
        <w:t xml:space="preserve"> </w:t>
      </w:r>
      <w:bookmarkStart w:id="124" w:name="_Toc164609474"/>
      <w:bookmarkStart w:id="125" w:name="_Toc20387"/>
      <w:r>
        <w:rPr>
          <w:rFonts w:hint="eastAsia"/>
        </w:rPr>
        <w:t>免疫印迹</w:t>
      </w:r>
      <w:bookmarkEnd w:id="124"/>
      <w:bookmarkEnd w:id="125"/>
    </w:p>
    <w:p>
      <w:pPr>
        <w:pStyle w:val="4"/>
        <w:numPr>
          <w:ilvl w:val="2"/>
          <w:numId w:val="2"/>
        </w:numPr>
        <w:tabs>
          <w:tab w:val="clear" w:pos="420"/>
        </w:tabs>
        <w:rPr>
          <w:rFonts w:hint="eastAsia"/>
        </w:rPr>
      </w:pPr>
      <w:r>
        <w:rPr>
          <w:rFonts w:hint="eastAsia"/>
        </w:rPr>
        <w:t xml:space="preserve"> </w:t>
      </w:r>
      <w:bookmarkStart w:id="126" w:name="_Toc164609475"/>
      <w:bookmarkStart w:id="127" w:name="_Toc806"/>
      <w:r>
        <w:rPr>
          <w:rFonts w:hint="eastAsia"/>
        </w:rPr>
        <w:t>Western-Blot（WB）实验</w:t>
      </w:r>
      <w:bookmarkEnd w:id="126"/>
      <w:bookmarkEnd w:id="127"/>
    </w:p>
    <w:p>
      <w:pPr>
        <w:ind w:firstLine="420" w:firstLineChars="0"/>
      </w:pPr>
      <w:r>
        <w:rPr>
          <w:rFonts w:hint="eastAsia"/>
        </w:rPr>
        <w:t>细胞培养24 h后，收集细胞培养液随即低温离心5 min，用PBS清洗细胞沉淀</w:t>
      </w:r>
      <w:r>
        <w:rPr>
          <w:rFonts w:hint="eastAsia"/>
          <w:lang w:eastAsia="zh-CN"/>
        </w:rPr>
        <w:t>后</w:t>
      </w:r>
      <w:r>
        <w:rPr>
          <w:rFonts w:hint="eastAsia"/>
        </w:rPr>
        <w:t>加入蛋白质裂解液（RIPA/PMSF=100 : 1）</w:t>
      </w:r>
      <w:r>
        <w:rPr>
          <w:rFonts w:hint="eastAsia"/>
          <w:lang w:eastAsia="zh-CN"/>
        </w:rPr>
        <w:t>并用</w:t>
      </w:r>
      <w:r>
        <w:rPr>
          <w:rFonts w:hint="eastAsia"/>
        </w:rPr>
        <w:t>玻璃匀浆器匀浆</w:t>
      </w:r>
      <w:r>
        <w:rPr>
          <w:rFonts w:hint="eastAsia"/>
          <w:lang w:eastAsia="zh-CN"/>
        </w:rPr>
        <w:t>，</w:t>
      </w:r>
      <w:r>
        <w:rPr>
          <w:rFonts w:hint="eastAsia"/>
        </w:rPr>
        <w:t>低温离心5 min</w:t>
      </w:r>
      <w:r>
        <w:rPr>
          <w:rFonts w:hint="eastAsia"/>
          <w:lang w:eastAsia="zh-CN"/>
        </w:rPr>
        <w:t>后</w:t>
      </w:r>
      <w:r>
        <w:rPr>
          <w:rFonts w:hint="eastAsia"/>
        </w:rPr>
        <w:t>取出上清液并加入上样缓冲液于沸水中煮5 min。</w:t>
      </w:r>
    </w:p>
    <w:p>
      <w:pPr>
        <w:pStyle w:val="33"/>
        <w:numPr>
          <w:ilvl w:val="0"/>
          <w:numId w:val="3"/>
        </w:numPr>
        <w:ind w:leftChars="0"/>
        <w:rPr>
          <w:rFonts w:hint="eastAsia"/>
        </w:rPr>
      </w:pPr>
      <w:r>
        <w:rPr>
          <w:rFonts w:hint="eastAsia"/>
        </w:rPr>
        <w:t>制胶</w:t>
      </w:r>
    </w:p>
    <w:p>
      <w:pPr>
        <w:ind w:firstLine="420" w:firstLineChars="0"/>
      </w:pPr>
      <w:r>
        <w:rPr>
          <w:rFonts w:hint="eastAsia"/>
        </w:rPr>
        <w:t>清洗玻璃板并</w:t>
      </w:r>
      <w:r>
        <w:t>组装</w:t>
      </w:r>
      <w:r>
        <w:rPr>
          <w:rFonts w:hint="eastAsia"/>
        </w:rPr>
        <w:t>，检漏</w:t>
      </w:r>
      <w:r>
        <w:t xml:space="preserve">10 </w:t>
      </w:r>
      <w:r>
        <w:rPr>
          <w:rFonts w:hint="eastAsia"/>
        </w:rPr>
        <w:t>min</w:t>
      </w:r>
      <w:r>
        <w:t>。</w:t>
      </w:r>
      <w:r>
        <w:rPr>
          <w:rFonts w:hint="eastAsia"/>
        </w:rPr>
        <w:t>根据目标蛋白质的分子量按照下表中的比例配制分离胶。首先，添加试剂并超声混匀（其中TEMED促凝剂会使凝胶迅速聚合，需要迅速完成此步骤）。随后，迅速向两侧制胶槽各加入</w:t>
      </w:r>
      <w:r>
        <w:t xml:space="preserve">7 </w:t>
      </w:r>
      <w:r>
        <w:rPr>
          <w:rFonts w:hint="eastAsia"/>
        </w:rPr>
        <w:t>m</w:t>
      </w:r>
      <w:r>
        <w:t>L</w:t>
      </w:r>
      <w:r>
        <w:rPr>
          <w:rFonts w:hint="eastAsia"/>
        </w:rPr>
        <w:t>混合液，加液完毕沿玻璃板内壁自左向右缓慢注入1</w:t>
      </w:r>
      <w:r>
        <w:t>50 μL</w:t>
      </w:r>
      <w:r>
        <w:rPr>
          <w:rFonts w:hint="eastAsia"/>
        </w:rPr>
        <w:t xml:space="preserve">异丙醇以去除胶中的气泡。最后，将装置置于37 </w:t>
      </w:r>
      <w:r>
        <w:t>℃</w:t>
      </w:r>
      <w:r>
        <w:rPr>
          <w:rFonts w:hint="eastAsia"/>
        </w:rPr>
        <w:t>烘箱加热30 m</w:t>
      </w:r>
      <w:r>
        <w:t>in</w:t>
      </w:r>
      <w:r>
        <w:rPr>
          <w:rFonts w:hint="eastAsia"/>
        </w:rPr>
        <w:t>，凝固后用纯化水洗净异丙醇。</w:t>
      </w:r>
    </w:p>
    <w:tbl>
      <w:tblPr>
        <w:tblStyle w:val="16"/>
        <w:tblW w:w="0" w:type="auto"/>
        <w:tblInd w:w="0" w:type="dxa"/>
        <w:tblBorders>
          <w:top w:val="single" w:color="auto" w:sz="12" w:space="0"/>
          <w:left w:val="single" w:color="BEBEBE" w:themeColor="background1" w:themeShade="BF" w:sz="4" w:space="0"/>
          <w:bottom w:val="single" w:color="auto" w:sz="12"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739"/>
        <w:gridCol w:w="2359"/>
        <w:gridCol w:w="2424"/>
      </w:tblGrid>
      <w:tr>
        <w:tblPrEx>
          <w:tblBorders>
            <w:top w:val="single" w:color="auto" w:sz="12" w:space="0"/>
            <w:left w:val="single" w:color="BEBEBE" w:themeColor="background1" w:themeShade="BF" w:sz="4" w:space="0"/>
            <w:bottom w:val="single" w:color="auto" w:sz="12"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739" w:type="dxa"/>
            <w:tcBorders>
              <w:bottom w:val="single" w:color="auto" w:sz="4" w:space="0"/>
            </w:tcBorders>
          </w:tcPr>
          <w:p>
            <w:pPr>
              <w:jc w:val="center"/>
            </w:pPr>
            <w:r>
              <w:rPr>
                <w:rFonts w:hint="eastAsia"/>
              </w:rPr>
              <w:t>实验试剂</w:t>
            </w:r>
          </w:p>
        </w:tc>
        <w:tc>
          <w:tcPr>
            <w:tcW w:w="2359" w:type="dxa"/>
            <w:tcBorders>
              <w:bottom w:val="single" w:color="auto" w:sz="4" w:space="0"/>
            </w:tcBorders>
          </w:tcPr>
          <w:p>
            <w:pPr>
              <w:jc w:val="center"/>
            </w:pPr>
            <w:r>
              <w:rPr>
                <w:rFonts w:hint="eastAsia"/>
              </w:rPr>
              <w:t>10%分离胶（mL）</w:t>
            </w:r>
          </w:p>
        </w:tc>
        <w:tc>
          <w:tcPr>
            <w:tcW w:w="2424" w:type="dxa"/>
            <w:tcBorders>
              <w:bottom w:val="single" w:color="auto" w:sz="4" w:space="0"/>
            </w:tcBorders>
          </w:tcPr>
          <w:p>
            <w:pPr>
              <w:jc w:val="center"/>
            </w:pPr>
            <w:r>
              <w:rPr>
                <w:rFonts w:hint="eastAsia"/>
              </w:rPr>
              <w:t>12 %分离胶（mL）</w:t>
            </w:r>
          </w:p>
        </w:tc>
      </w:tr>
      <w:tr>
        <w:tblPrEx>
          <w:tblBorders>
            <w:top w:val="single" w:color="auto" w:sz="12" w:space="0"/>
            <w:left w:val="single" w:color="BEBEBE" w:themeColor="background1" w:themeShade="BF" w:sz="4" w:space="0"/>
            <w:bottom w:val="single" w:color="auto" w:sz="12"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739" w:type="dxa"/>
            <w:tcBorders>
              <w:top w:val="single" w:color="auto" w:sz="4" w:space="0"/>
              <w:tl2br w:val="nil"/>
              <w:tr2bl w:val="nil"/>
            </w:tcBorders>
          </w:tcPr>
          <w:p>
            <w:pPr>
              <w:jc w:val="center"/>
            </w:pPr>
            <w:r>
              <w:t>H</w:t>
            </w:r>
            <w:r>
              <w:rPr>
                <w:vertAlign w:val="subscript"/>
              </w:rPr>
              <w:t>2</w:t>
            </w:r>
            <w:r>
              <w:t>O</w:t>
            </w:r>
          </w:p>
        </w:tc>
        <w:tc>
          <w:tcPr>
            <w:tcW w:w="2359" w:type="dxa"/>
            <w:tcBorders>
              <w:top w:val="single" w:color="auto" w:sz="4" w:space="0"/>
              <w:tl2br w:val="nil"/>
              <w:tr2bl w:val="nil"/>
            </w:tcBorders>
          </w:tcPr>
          <w:p>
            <w:pPr>
              <w:jc w:val="center"/>
            </w:pPr>
            <w:r>
              <w:rPr>
                <w:rFonts w:hint="eastAsia"/>
              </w:rPr>
              <w:t>5.9</w:t>
            </w:r>
          </w:p>
        </w:tc>
        <w:tc>
          <w:tcPr>
            <w:tcW w:w="2424" w:type="dxa"/>
            <w:tcBorders>
              <w:top w:val="single" w:color="auto" w:sz="4" w:space="0"/>
              <w:tl2br w:val="nil"/>
              <w:tr2bl w:val="nil"/>
            </w:tcBorders>
          </w:tcPr>
          <w:p>
            <w:pPr>
              <w:jc w:val="center"/>
            </w:pPr>
            <w:r>
              <w:t>4.9</w:t>
            </w:r>
          </w:p>
        </w:tc>
      </w:tr>
      <w:tr>
        <w:tblPrEx>
          <w:tblBorders>
            <w:top w:val="single" w:color="auto" w:sz="12" w:space="0"/>
            <w:left w:val="single" w:color="BEBEBE" w:themeColor="background1" w:themeShade="BF" w:sz="4" w:space="0"/>
            <w:bottom w:val="single" w:color="auto" w:sz="12"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739" w:type="dxa"/>
            <w:tcBorders>
              <w:tl2br w:val="nil"/>
              <w:tr2bl w:val="nil"/>
            </w:tcBorders>
          </w:tcPr>
          <w:p>
            <w:pPr>
              <w:jc w:val="center"/>
            </w:pPr>
            <w:r>
              <w:t>30 % Acylamide（A液）</w:t>
            </w:r>
          </w:p>
        </w:tc>
        <w:tc>
          <w:tcPr>
            <w:tcW w:w="2359" w:type="dxa"/>
            <w:tcBorders>
              <w:tl2br w:val="nil"/>
              <w:tr2bl w:val="nil"/>
            </w:tcBorders>
          </w:tcPr>
          <w:p>
            <w:pPr>
              <w:jc w:val="center"/>
            </w:pPr>
            <w:r>
              <w:rPr>
                <w:rFonts w:hint="eastAsia"/>
              </w:rPr>
              <w:t>5.0</w:t>
            </w:r>
          </w:p>
        </w:tc>
        <w:tc>
          <w:tcPr>
            <w:tcW w:w="2424" w:type="dxa"/>
            <w:tcBorders>
              <w:tl2br w:val="nil"/>
              <w:tr2bl w:val="nil"/>
            </w:tcBorders>
          </w:tcPr>
          <w:p>
            <w:pPr>
              <w:jc w:val="center"/>
            </w:pPr>
            <w:r>
              <w:rPr>
                <w:rFonts w:hint="eastAsia"/>
              </w:rPr>
              <w:t>6.0</w:t>
            </w:r>
          </w:p>
        </w:tc>
      </w:tr>
      <w:tr>
        <w:tblPrEx>
          <w:tblBorders>
            <w:top w:val="single" w:color="auto" w:sz="12" w:space="0"/>
            <w:left w:val="single" w:color="BEBEBE" w:themeColor="background1" w:themeShade="BF" w:sz="4" w:space="0"/>
            <w:bottom w:val="single" w:color="auto" w:sz="12"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739" w:type="dxa"/>
            <w:tcBorders>
              <w:tl2br w:val="nil"/>
              <w:tr2bl w:val="nil"/>
            </w:tcBorders>
          </w:tcPr>
          <w:p>
            <w:pPr>
              <w:jc w:val="center"/>
            </w:pPr>
            <w:r>
              <w:t>1.5M Tris-HCl，PH</w:t>
            </w:r>
            <w:r>
              <w:rPr>
                <w:rFonts w:hint="eastAsia"/>
              </w:rPr>
              <w:t xml:space="preserve"> </w:t>
            </w:r>
            <w:r>
              <w:t>8.8（B液）</w:t>
            </w:r>
          </w:p>
        </w:tc>
        <w:tc>
          <w:tcPr>
            <w:tcW w:w="2359" w:type="dxa"/>
            <w:tcBorders>
              <w:tl2br w:val="nil"/>
              <w:tr2bl w:val="nil"/>
            </w:tcBorders>
          </w:tcPr>
          <w:p>
            <w:pPr>
              <w:jc w:val="center"/>
            </w:pPr>
            <w:r>
              <w:rPr>
                <w:rFonts w:hint="eastAsia"/>
              </w:rPr>
              <w:t>3.8</w:t>
            </w:r>
          </w:p>
        </w:tc>
        <w:tc>
          <w:tcPr>
            <w:tcW w:w="2424" w:type="dxa"/>
            <w:tcBorders>
              <w:tl2br w:val="nil"/>
              <w:tr2bl w:val="nil"/>
            </w:tcBorders>
          </w:tcPr>
          <w:p>
            <w:pPr>
              <w:jc w:val="center"/>
            </w:pPr>
            <w:r>
              <w:rPr>
                <w:rFonts w:hint="eastAsia"/>
              </w:rPr>
              <w:t>3.8</w:t>
            </w:r>
          </w:p>
        </w:tc>
      </w:tr>
      <w:tr>
        <w:tblPrEx>
          <w:tblBorders>
            <w:top w:val="single" w:color="auto" w:sz="12" w:space="0"/>
            <w:left w:val="single" w:color="BEBEBE" w:themeColor="background1" w:themeShade="BF" w:sz="4" w:space="0"/>
            <w:bottom w:val="single" w:color="auto" w:sz="12"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739" w:type="dxa"/>
            <w:tcBorders>
              <w:tl2br w:val="nil"/>
              <w:tr2bl w:val="nil"/>
            </w:tcBorders>
          </w:tcPr>
          <w:p>
            <w:pPr>
              <w:jc w:val="center"/>
            </w:pPr>
            <w:r>
              <w:t>10 %SDS</w:t>
            </w:r>
          </w:p>
        </w:tc>
        <w:tc>
          <w:tcPr>
            <w:tcW w:w="2359" w:type="dxa"/>
            <w:tcBorders>
              <w:tl2br w:val="nil"/>
              <w:tr2bl w:val="nil"/>
            </w:tcBorders>
          </w:tcPr>
          <w:p>
            <w:pPr>
              <w:jc w:val="center"/>
            </w:pPr>
            <w:r>
              <w:rPr>
                <w:rFonts w:hint="eastAsia"/>
              </w:rPr>
              <w:t>0.15</w:t>
            </w:r>
          </w:p>
        </w:tc>
        <w:tc>
          <w:tcPr>
            <w:tcW w:w="2424" w:type="dxa"/>
            <w:tcBorders>
              <w:tl2br w:val="nil"/>
              <w:tr2bl w:val="nil"/>
            </w:tcBorders>
          </w:tcPr>
          <w:p>
            <w:pPr>
              <w:jc w:val="center"/>
            </w:pPr>
            <w:r>
              <w:rPr>
                <w:rFonts w:hint="eastAsia"/>
              </w:rPr>
              <w:t>0.15</w:t>
            </w:r>
          </w:p>
        </w:tc>
      </w:tr>
      <w:tr>
        <w:tblPrEx>
          <w:tblBorders>
            <w:top w:val="single" w:color="auto" w:sz="12" w:space="0"/>
            <w:left w:val="single" w:color="BEBEBE" w:themeColor="background1" w:themeShade="BF" w:sz="4" w:space="0"/>
            <w:bottom w:val="single" w:color="auto" w:sz="12"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739" w:type="dxa"/>
            <w:tcBorders>
              <w:tl2br w:val="nil"/>
              <w:tr2bl w:val="nil"/>
            </w:tcBorders>
          </w:tcPr>
          <w:p>
            <w:pPr>
              <w:jc w:val="center"/>
            </w:pPr>
            <w:r>
              <w:t>10 %APS</w:t>
            </w:r>
          </w:p>
        </w:tc>
        <w:tc>
          <w:tcPr>
            <w:tcW w:w="2359" w:type="dxa"/>
            <w:tcBorders>
              <w:tl2br w:val="nil"/>
              <w:tr2bl w:val="nil"/>
            </w:tcBorders>
          </w:tcPr>
          <w:p>
            <w:pPr>
              <w:jc w:val="center"/>
            </w:pPr>
            <w:r>
              <w:rPr>
                <w:rFonts w:hint="eastAsia"/>
              </w:rPr>
              <w:t>0.15</w:t>
            </w:r>
          </w:p>
        </w:tc>
        <w:tc>
          <w:tcPr>
            <w:tcW w:w="2424" w:type="dxa"/>
            <w:tcBorders>
              <w:tl2br w:val="nil"/>
              <w:tr2bl w:val="nil"/>
            </w:tcBorders>
          </w:tcPr>
          <w:p>
            <w:pPr>
              <w:jc w:val="center"/>
            </w:pPr>
            <w:r>
              <w:rPr>
                <w:rFonts w:hint="eastAsia"/>
              </w:rPr>
              <w:t>0.15</w:t>
            </w:r>
          </w:p>
        </w:tc>
      </w:tr>
      <w:tr>
        <w:tblPrEx>
          <w:tblBorders>
            <w:top w:val="single" w:color="auto" w:sz="12" w:space="0"/>
            <w:left w:val="single" w:color="BEBEBE" w:themeColor="background1" w:themeShade="BF" w:sz="4" w:space="0"/>
            <w:bottom w:val="single" w:color="auto" w:sz="12"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739" w:type="dxa"/>
            <w:tcBorders>
              <w:tl2br w:val="nil"/>
              <w:tr2bl w:val="nil"/>
            </w:tcBorders>
          </w:tcPr>
          <w:p>
            <w:pPr>
              <w:jc w:val="center"/>
            </w:pPr>
            <w:r>
              <w:t>TEMED</w:t>
            </w:r>
          </w:p>
        </w:tc>
        <w:tc>
          <w:tcPr>
            <w:tcW w:w="2359" w:type="dxa"/>
            <w:tcBorders>
              <w:tl2br w:val="nil"/>
              <w:tr2bl w:val="nil"/>
            </w:tcBorders>
          </w:tcPr>
          <w:p>
            <w:pPr>
              <w:jc w:val="center"/>
            </w:pPr>
            <w:r>
              <w:rPr>
                <w:rFonts w:hint="eastAsia"/>
              </w:rPr>
              <w:t>0.006</w:t>
            </w:r>
          </w:p>
        </w:tc>
        <w:tc>
          <w:tcPr>
            <w:tcW w:w="2424" w:type="dxa"/>
            <w:tcBorders>
              <w:tl2br w:val="nil"/>
              <w:tr2bl w:val="nil"/>
            </w:tcBorders>
          </w:tcPr>
          <w:p>
            <w:pPr>
              <w:jc w:val="center"/>
            </w:pPr>
            <w:r>
              <w:rPr>
                <w:rFonts w:hint="eastAsia"/>
              </w:rPr>
              <w:t>0.006</w:t>
            </w:r>
          </w:p>
        </w:tc>
      </w:tr>
    </w:tbl>
    <w:p>
      <w:pPr>
        <w:ind w:firstLine="420" w:firstLineChars="0"/>
      </w:pPr>
      <w:r>
        <w:rPr>
          <w:rFonts w:hint="eastAsia"/>
        </w:rPr>
        <w:t>根据下表制备浓缩胶，准确称量各组分并超声混匀。往两边各加入2</w:t>
      </w:r>
      <w:r>
        <w:t xml:space="preserve"> </w:t>
      </w:r>
      <w:r>
        <w:rPr>
          <w:rFonts w:hint="eastAsia"/>
        </w:rPr>
        <w:t>m</w:t>
      </w:r>
      <w:r>
        <w:t>L</w:t>
      </w:r>
      <w:r>
        <w:rPr>
          <w:rFonts w:hint="eastAsia"/>
        </w:rPr>
        <w:t>的浓缩胶，距离上边界约2</w:t>
      </w:r>
      <w:r>
        <w:t xml:space="preserve"> </w:t>
      </w:r>
      <w:r>
        <w:rPr>
          <w:rFonts w:hint="eastAsia"/>
        </w:rPr>
        <w:t>mm，将梳子平行插入并轻晃梳子以排出齿间气泡。烘干25</w:t>
      </w:r>
      <w:r>
        <w:t xml:space="preserve"> </w:t>
      </w:r>
      <w:r>
        <w:rPr>
          <w:rFonts w:hint="eastAsia"/>
        </w:rPr>
        <w:t>min后，平稳地取出梳子，洗净备用。</w:t>
      </w:r>
    </w:p>
    <w:tbl>
      <w:tblPr>
        <w:tblStyle w:val="16"/>
        <w:tblW w:w="5000" w:type="pct"/>
        <w:tblInd w:w="0" w:type="dxa"/>
        <w:tblBorders>
          <w:top w:val="single" w:color="auto" w:sz="12" w:space="0"/>
          <w:left w:val="single" w:color="BEBEBE" w:themeColor="background1" w:themeShade="BF" w:sz="4" w:space="0"/>
          <w:bottom w:val="single" w:color="auto" w:sz="12"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4261"/>
        <w:gridCol w:w="4261"/>
      </w:tblGrid>
      <w:tr>
        <w:tblPrEx>
          <w:tblBorders>
            <w:top w:val="single" w:color="auto" w:sz="12" w:space="0"/>
            <w:left w:val="single" w:color="BEBEBE" w:themeColor="background1" w:themeShade="BF" w:sz="4" w:space="0"/>
            <w:bottom w:val="single" w:color="auto" w:sz="12"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61" w:type="dxa"/>
            <w:tcBorders>
              <w:bottom w:val="single" w:color="auto" w:sz="4" w:space="0"/>
            </w:tcBorders>
          </w:tcPr>
          <w:p>
            <w:pPr>
              <w:jc w:val="center"/>
            </w:pPr>
            <w:r>
              <w:rPr>
                <w:rFonts w:hint="eastAsia"/>
              </w:rPr>
              <w:t>实验试剂</w:t>
            </w:r>
          </w:p>
        </w:tc>
        <w:tc>
          <w:tcPr>
            <w:tcW w:w="4261" w:type="dxa"/>
            <w:tcBorders>
              <w:bottom w:val="single" w:color="auto" w:sz="4" w:space="0"/>
            </w:tcBorders>
          </w:tcPr>
          <w:p>
            <w:pPr>
              <w:jc w:val="center"/>
            </w:pPr>
            <w:r>
              <w:rPr>
                <w:rFonts w:hint="eastAsia"/>
              </w:rPr>
              <w:t>5%浓缩胶（mL）</w:t>
            </w:r>
          </w:p>
        </w:tc>
      </w:tr>
      <w:tr>
        <w:tblPrEx>
          <w:tblBorders>
            <w:top w:val="single" w:color="auto" w:sz="12" w:space="0"/>
            <w:left w:val="single" w:color="BEBEBE" w:themeColor="background1" w:themeShade="BF" w:sz="4" w:space="0"/>
            <w:bottom w:val="single" w:color="auto" w:sz="12"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61" w:type="dxa"/>
            <w:tcBorders>
              <w:top w:val="single" w:color="auto" w:sz="4" w:space="0"/>
              <w:tl2br w:val="nil"/>
              <w:tr2bl w:val="nil"/>
            </w:tcBorders>
          </w:tcPr>
          <w:p>
            <w:pPr>
              <w:jc w:val="center"/>
            </w:pPr>
            <w:r>
              <w:t>H</w:t>
            </w:r>
            <w:r>
              <w:rPr>
                <w:vertAlign w:val="subscript"/>
              </w:rPr>
              <w:t>2</w:t>
            </w:r>
            <w:r>
              <w:t>O</w:t>
            </w:r>
          </w:p>
        </w:tc>
        <w:tc>
          <w:tcPr>
            <w:tcW w:w="4261" w:type="dxa"/>
            <w:tcBorders>
              <w:top w:val="single" w:color="auto" w:sz="4" w:space="0"/>
              <w:tl2br w:val="nil"/>
              <w:tr2bl w:val="nil"/>
            </w:tcBorders>
          </w:tcPr>
          <w:p>
            <w:pPr>
              <w:jc w:val="center"/>
            </w:pPr>
            <w:r>
              <w:t>4.0</w:t>
            </w:r>
          </w:p>
        </w:tc>
      </w:tr>
      <w:tr>
        <w:tblPrEx>
          <w:tblBorders>
            <w:top w:val="single" w:color="auto" w:sz="12" w:space="0"/>
            <w:left w:val="single" w:color="BEBEBE" w:themeColor="background1" w:themeShade="BF" w:sz="4" w:space="0"/>
            <w:bottom w:val="single" w:color="auto" w:sz="12"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61" w:type="dxa"/>
            <w:tcBorders>
              <w:tl2br w:val="nil"/>
              <w:tr2bl w:val="nil"/>
            </w:tcBorders>
          </w:tcPr>
          <w:p>
            <w:pPr>
              <w:jc w:val="center"/>
            </w:pPr>
            <w:r>
              <w:t>30 % Acylamide（A液）</w:t>
            </w:r>
          </w:p>
        </w:tc>
        <w:tc>
          <w:tcPr>
            <w:tcW w:w="4261" w:type="dxa"/>
            <w:tcBorders>
              <w:tl2br w:val="nil"/>
              <w:tr2bl w:val="nil"/>
            </w:tcBorders>
          </w:tcPr>
          <w:p>
            <w:pPr>
              <w:jc w:val="center"/>
            </w:pPr>
            <w:r>
              <w:rPr>
                <w:rFonts w:hint="eastAsia"/>
              </w:rPr>
              <w:t>1.0</w:t>
            </w:r>
          </w:p>
        </w:tc>
      </w:tr>
      <w:tr>
        <w:tblPrEx>
          <w:tblBorders>
            <w:top w:val="single" w:color="auto" w:sz="12" w:space="0"/>
            <w:left w:val="single" w:color="BEBEBE" w:themeColor="background1" w:themeShade="BF" w:sz="4" w:space="0"/>
            <w:bottom w:val="single" w:color="auto" w:sz="12"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61" w:type="dxa"/>
            <w:tcBorders>
              <w:tl2br w:val="nil"/>
              <w:tr2bl w:val="nil"/>
            </w:tcBorders>
          </w:tcPr>
          <w:p>
            <w:pPr>
              <w:jc w:val="center"/>
            </w:pPr>
            <w:r>
              <w:t>0.5M Tris-HCl，PH6.8（C液）</w:t>
            </w:r>
          </w:p>
        </w:tc>
        <w:tc>
          <w:tcPr>
            <w:tcW w:w="4261" w:type="dxa"/>
            <w:tcBorders>
              <w:tl2br w:val="nil"/>
              <w:tr2bl w:val="nil"/>
            </w:tcBorders>
          </w:tcPr>
          <w:p>
            <w:pPr>
              <w:jc w:val="center"/>
            </w:pPr>
            <w:r>
              <w:rPr>
                <w:rFonts w:hint="eastAsia"/>
              </w:rPr>
              <w:t>1.0</w:t>
            </w:r>
          </w:p>
        </w:tc>
      </w:tr>
      <w:tr>
        <w:tblPrEx>
          <w:tblBorders>
            <w:top w:val="single" w:color="auto" w:sz="12" w:space="0"/>
            <w:left w:val="single" w:color="BEBEBE" w:themeColor="background1" w:themeShade="BF" w:sz="4" w:space="0"/>
            <w:bottom w:val="single" w:color="auto" w:sz="12"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61" w:type="dxa"/>
            <w:tcBorders>
              <w:tl2br w:val="nil"/>
              <w:tr2bl w:val="nil"/>
            </w:tcBorders>
          </w:tcPr>
          <w:p>
            <w:pPr>
              <w:jc w:val="center"/>
            </w:pPr>
            <w:r>
              <w:t>10 %SDS</w:t>
            </w:r>
          </w:p>
        </w:tc>
        <w:tc>
          <w:tcPr>
            <w:tcW w:w="4261" w:type="dxa"/>
            <w:tcBorders>
              <w:tl2br w:val="nil"/>
              <w:tr2bl w:val="nil"/>
            </w:tcBorders>
          </w:tcPr>
          <w:p>
            <w:pPr>
              <w:jc w:val="center"/>
            </w:pPr>
            <w:r>
              <w:rPr>
                <w:rFonts w:hint="eastAsia"/>
              </w:rPr>
              <w:t>0.08</w:t>
            </w:r>
          </w:p>
        </w:tc>
      </w:tr>
      <w:tr>
        <w:tblPrEx>
          <w:tblBorders>
            <w:top w:val="single" w:color="auto" w:sz="12" w:space="0"/>
            <w:left w:val="single" w:color="BEBEBE" w:themeColor="background1" w:themeShade="BF" w:sz="4" w:space="0"/>
            <w:bottom w:val="single" w:color="auto" w:sz="12"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61" w:type="dxa"/>
            <w:tcBorders>
              <w:tl2br w:val="nil"/>
              <w:tr2bl w:val="nil"/>
            </w:tcBorders>
          </w:tcPr>
          <w:p>
            <w:pPr>
              <w:jc w:val="center"/>
            </w:pPr>
            <w:r>
              <w:t>10 %APS</w:t>
            </w:r>
          </w:p>
        </w:tc>
        <w:tc>
          <w:tcPr>
            <w:tcW w:w="4261" w:type="dxa"/>
            <w:tcBorders>
              <w:tl2br w:val="nil"/>
              <w:tr2bl w:val="nil"/>
            </w:tcBorders>
          </w:tcPr>
          <w:p>
            <w:pPr>
              <w:jc w:val="center"/>
            </w:pPr>
            <w:r>
              <w:rPr>
                <w:rFonts w:hint="eastAsia"/>
              </w:rPr>
              <w:t>0.06</w:t>
            </w:r>
          </w:p>
        </w:tc>
      </w:tr>
      <w:tr>
        <w:tblPrEx>
          <w:tblBorders>
            <w:top w:val="single" w:color="auto" w:sz="12" w:space="0"/>
            <w:left w:val="single" w:color="BEBEBE" w:themeColor="background1" w:themeShade="BF" w:sz="4" w:space="0"/>
            <w:bottom w:val="single" w:color="auto" w:sz="12"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261" w:type="dxa"/>
            <w:tcBorders>
              <w:tl2br w:val="nil"/>
              <w:tr2bl w:val="nil"/>
            </w:tcBorders>
          </w:tcPr>
          <w:p>
            <w:pPr>
              <w:jc w:val="center"/>
            </w:pPr>
            <w:r>
              <w:t>TEMED</w:t>
            </w:r>
          </w:p>
        </w:tc>
        <w:tc>
          <w:tcPr>
            <w:tcW w:w="4261" w:type="dxa"/>
            <w:tcBorders>
              <w:tl2br w:val="nil"/>
              <w:tr2bl w:val="nil"/>
            </w:tcBorders>
          </w:tcPr>
          <w:p>
            <w:pPr>
              <w:jc w:val="center"/>
            </w:pPr>
            <w:r>
              <w:rPr>
                <w:rFonts w:hint="eastAsia"/>
              </w:rPr>
              <w:t>0.008</w:t>
            </w:r>
          </w:p>
        </w:tc>
      </w:tr>
    </w:tbl>
    <w:p>
      <w:pPr>
        <w:pStyle w:val="33"/>
        <w:numPr>
          <w:ilvl w:val="0"/>
          <w:numId w:val="3"/>
        </w:numPr>
        <w:ind w:leftChars="0"/>
        <w:rPr>
          <w:rFonts w:hint="eastAsia" w:eastAsia="宋体"/>
          <w:lang w:val="en-US" w:eastAsia="zh-CN"/>
        </w:rPr>
      </w:pPr>
      <w:r>
        <w:rPr>
          <w:rFonts w:hint="eastAsia"/>
          <w:lang w:val="en-US" w:eastAsia="zh-CN"/>
        </w:rPr>
        <w:t>电泳</w:t>
      </w:r>
    </w:p>
    <w:p>
      <w:pPr>
        <w:ind w:firstLine="420" w:firstLineChars="0"/>
      </w:pPr>
      <w:r>
        <w:rPr>
          <w:rFonts w:hint="eastAsia"/>
        </w:rPr>
        <w:t>配置电泳液，根据下表按比例混合并</w:t>
      </w:r>
      <w:r>
        <w:t>定容至500 mL。</w:t>
      </w:r>
    </w:p>
    <w:tbl>
      <w:tblPr>
        <w:tblStyle w:val="15"/>
        <w:tblW w:w="5000" w:type="pct"/>
        <w:tblInd w:w="0" w:type="dxa"/>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41"/>
        <w:gridCol w:w="3281"/>
      </w:tblGrid>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241" w:type="dxa"/>
            <w:tcBorders>
              <w:top w:val="single" w:color="000000" w:sz="12" w:space="0"/>
              <w:bottom w:val="single" w:color="auto" w:sz="4" w:space="0"/>
            </w:tcBorders>
          </w:tcPr>
          <w:p>
            <w:pPr>
              <w:jc w:val="center"/>
            </w:pPr>
            <w:r>
              <w:rPr>
                <w:rFonts w:hint="eastAsia"/>
              </w:rPr>
              <w:t>试剂</w:t>
            </w:r>
          </w:p>
        </w:tc>
        <w:tc>
          <w:tcPr>
            <w:tcW w:w="3281" w:type="dxa"/>
            <w:tcBorders>
              <w:top w:val="single" w:color="000000" w:sz="12" w:space="0"/>
              <w:bottom w:val="single" w:color="auto" w:sz="4" w:space="0"/>
            </w:tcBorders>
          </w:tcPr>
          <w:p>
            <w:pPr>
              <w:jc w:val="center"/>
            </w:pPr>
            <w:r>
              <w:rPr>
                <w:rFonts w:hint="eastAsia"/>
              </w:rPr>
              <w:t>质量（g）</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241" w:type="dxa"/>
            <w:tcBorders>
              <w:top w:val="single" w:color="auto" w:sz="4" w:space="0"/>
            </w:tcBorders>
          </w:tcPr>
          <w:p>
            <w:pPr>
              <w:jc w:val="center"/>
            </w:pPr>
            <w:r>
              <w:t>Tris base</w:t>
            </w:r>
          </w:p>
        </w:tc>
        <w:tc>
          <w:tcPr>
            <w:tcW w:w="3281" w:type="dxa"/>
            <w:tcBorders>
              <w:top w:val="single" w:color="auto" w:sz="4" w:space="0"/>
            </w:tcBorders>
          </w:tcPr>
          <w:p>
            <w:pPr>
              <w:jc w:val="center"/>
            </w:pPr>
            <w:r>
              <w:t>1.514</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241" w:type="dxa"/>
          </w:tcPr>
          <w:p>
            <w:pPr>
              <w:jc w:val="center"/>
            </w:pPr>
            <w:r>
              <w:t>甘氨酸</w:t>
            </w:r>
          </w:p>
        </w:tc>
        <w:tc>
          <w:tcPr>
            <w:tcW w:w="3281" w:type="dxa"/>
          </w:tcPr>
          <w:p>
            <w:pPr>
              <w:jc w:val="center"/>
            </w:pPr>
            <w:r>
              <w:t>7.104</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5241" w:type="dxa"/>
            <w:tcBorders>
              <w:bottom w:val="single" w:color="auto" w:sz="12" w:space="0"/>
            </w:tcBorders>
          </w:tcPr>
          <w:p>
            <w:pPr>
              <w:jc w:val="center"/>
            </w:pPr>
            <w:r>
              <w:t>10 %SDS</w:t>
            </w:r>
          </w:p>
        </w:tc>
        <w:tc>
          <w:tcPr>
            <w:tcW w:w="3281" w:type="dxa"/>
            <w:tcBorders>
              <w:bottom w:val="single" w:color="auto" w:sz="12" w:space="0"/>
            </w:tcBorders>
          </w:tcPr>
          <w:p>
            <w:pPr>
              <w:jc w:val="center"/>
            </w:pPr>
            <w:r>
              <w:t>0.5</w:t>
            </w:r>
          </w:p>
        </w:tc>
      </w:tr>
    </w:tbl>
    <w:p>
      <w:pPr>
        <w:ind w:firstLine="420" w:firstLineChars="0"/>
      </w:pPr>
      <w:r>
        <w:rPr>
          <w:rFonts w:hint="eastAsia"/>
        </w:rPr>
        <w:t>将凝胶放入电泳槽中，加入新制的电泳液，平稳地取出梳子。往上样孔中加入蛋白质样品和marker，随即电泳，先以80</w:t>
      </w:r>
      <w:r>
        <w:t xml:space="preserve"> </w:t>
      </w:r>
      <w:r>
        <w:rPr>
          <w:rFonts w:hint="eastAsia"/>
        </w:rPr>
        <w:t>V电压运行20 min至梯度出现，再调至120</w:t>
      </w:r>
      <w:r>
        <w:t xml:space="preserve"> </w:t>
      </w:r>
      <w:r>
        <w:rPr>
          <w:rFonts w:hint="eastAsia"/>
        </w:rPr>
        <w:t>V直至样品中的溴酚蓝到达凝胶的末端，结束电泳。</w:t>
      </w:r>
    </w:p>
    <w:p>
      <w:pPr>
        <w:pStyle w:val="33"/>
        <w:numPr>
          <w:ilvl w:val="0"/>
          <w:numId w:val="3"/>
        </w:numPr>
        <w:ind w:leftChars="0"/>
        <w:rPr>
          <w:rFonts w:hint="eastAsia"/>
          <w:lang w:val="en-US" w:eastAsia="zh-CN"/>
        </w:rPr>
      </w:pPr>
      <w:r>
        <w:rPr>
          <w:rFonts w:hint="eastAsia"/>
          <w:lang w:val="en-US" w:eastAsia="zh-CN"/>
        </w:rPr>
        <w:t xml:space="preserve"> 转膜</w:t>
      </w:r>
    </w:p>
    <w:p>
      <w:pPr>
        <w:ind w:firstLine="420" w:firstLineChars="0"/>
      </w:pPr>
      <w:r>
        <w:rPr>
          <w:rFonts w:hint="eastAsia"/>
        </w:rPr>
        <w:t>根据下表配置1</w:t>
      </w:r>
      <w:r>
        <w:t xml:space="preserve"> </w:t>
      </w:r>
      <w:r>
        <w:rPr>
          <w:rFonts w:hint="eastAsia"/>
        </w:rPr>
        <w:t>L转膜液。</w:t>
      </w:r>
    </w:p>
    <w:tbl>
      <w:tblPr>
        <w:tblStyle w:val="15"/>
        <w:tblW w:w="5000" w:type="pct"/>
        <w:tblInd w:w="0" w:type="dxa"/>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21"/>
        <w:gridCol w:w="3801"/>
      </w:tblGrid>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721" w:type="dxa"/>
            <w:tcBorders>
              <w:top w:val="single" w:color="000000" w:sz="12" w:space="0"/>
              <w:bottom w:val="single" w:color="auto" w:sz="4" w:space="0"/>
            </w:tcBorders>
          </w:tcPr>
          <w:p>
            <w:pPr>
              <w:jc w:val="center"/>
            </w:pPr>
            <w:r>
              <w:rPr>
                <w:rFonts w:hint="eastAsia"/>
              </w:rPr>
              <w:t>试剂</w:t>
            </w:r>
          </w:p>
        </w:tc>
        <w:tc>
          <w:tcPr>
            <w:tcW w:w="3801" w:type="dxa"/>
            <w:tcBorders>
              <w:top w:val="single" w:color="000000" w:sz="12" w:space="0"/>
              <w:bottom w:val="single" w:color="auto" w:sz="4" w:space="0"/>
            </w:tcBorders>
          </w:tcPr>
          <w:p>
            <w:pPr>
              <w:jc w:val="center"/>
            </w:pPr>
            <w:r>
              <w:rPr>
                <w:rFonts w:hint="eastAsia"/>
              </w:rPr>
              <w:t>质量（g）/</w:t>
            </w:r>
            <w:r>
              <w:t xml:space="preserve"> </w:t>
            </w:r>
            <w:r>
              <w:rPr>
                <w:rFonts w:hint="eastAsia"/>
              </w:rPr>
              <w:t>体积（mL）</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721" w:type="dxa"/>
            <w:tcBorders>
              <w:top w:val="single" w:color="auto" w:sz="4" w:space="0"/>
            </w:tcBorders>
          </w:tcPr>
          <w:p>
            <w:pPr>
              <w:jc w:val="center"/>
            </w:pPr>
            <w:r>
              <w:t>Tris base</w:t>
            </w:r>
          </w:p>
        </w:tc>
        <w:tc>
          <w:tcPr>
            <w:tcW w:w="3801" w:type="dxa"/>
            <w:tcBorders>
              <w:top w:val="single" w:color="auto" w:sz="4" w:space="0"/>
            </w:tcBorders>
          </w:tcPr>
          <w:p>
            <w:pPr>
              <w:jc w:val="center"/>
            </w:pPr>
            <w:r>
              <w:t>5.8</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721" w:type="dxa"/>
          </w:tcPr>
          <w:p>
            <w:pPr>
              <w:jc w:val="center"/>
            </w:pPr>
            <w:r>
              <w:t>甘氨酸</w:t>
            </w:r>
          </w:p>
        </w:tc>
        <w:tc>
          <w:tcPr>
            <w:tcW w:w="3801" w:type="dxa"/>
          </w:tcPr>
          <w:p>
            <w:pPr>
              <w:jc w:val="center"/>
            </w:pPr>
            <w:r>
              <w:t>2.9</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721" w:type="dxa"/>
            <w:tcBorders>
              <w:bottom w:val="single" w:color="auto" w:sz="12" w:space="0"/>
            </w:tcBorders>
          </w:tcPr>
          <w:p>
            <w:pPr>
              <w:jc w:val="center"/>
            </w:pPr>
            <w:r>
              <w:rPr>
                <w:rFonts w:hint="eastAsia"/>
              </w:rPr>
              <w:t>甲醇</w:t>
            </w:r>
          </w:p>
        </w:tc>
        <w:tc>
          <w:tcPr>
            <w:tcW w:w="3801" w:type="dxa"/>
            <w:tcBorders>
              <w:bottom w:val="single" w:color="auto" w:sz="12" w:space="0"/>
            </w:tcBorders>
          </w:tcPr>
          <w:p>
            <w:pPr>
              <w:jc w:val="center"/>
            </w:pPr>
            <w:r>
              <w:t>200</w:t>
            </w:r>
          </w:p>
        </w:tc>
      </w:tr>
    </w:tbl>
    <w:p>
      <w:pPr>
        <w:ind w:firstLine="420" w:firstLineChars="0"/>
      </w:pPr>
      <w:r>
        <w:rPr>
          <w:rFonts w:hint="eastAsia"/>
        </w:rPr>
        <w:t>电泳结束后，剪切凝胶中不含蛋白和marker部分的空白区域，保留目标蛋白的部分并准备相同大小的PVDF膜。用甲醇预处理膜后，构建转膜三明治，按顺序放置好，确保无气泡影响蛋白质的均匀转移。合上夹子，转移到转膜槽中，正负极对应，将转膜液加满后盖上盖子，以200</w:t>
      </w:r>
      <w:r>
        <w:t xml:space="preserve"> </w:t>
      </w:r>
      <w:r>
        <w:rPr>
          <w:rFonts w:hint="eastAsia"/>
        </w:rPr>
        <w:t>mA的电流在冰水混合物中低温转膜45</w:t>
      </w:r>
      <w:r>
        <w:t xml:space="preserve"> </w:t>
      </w:r>
      <w:r>
        <w:rPr>
          <w:rFonts w:hint="eastAsia"/>
        </w:rPr>
        <w:t>min。</w:t>
      </w:r>
    </w:p>
    <w:p>
      <w:pPr>
        <w:pStyle w:val="33"/>
        <w:numPr>
          <w:ilvl w:val="0"/>
          <w:numId w:val="3"/>
        </w:numPr>
        <w:ind w:leftChars="0"/>
        <w:rPr>
          <w:rFonts w:hint="eastAsia"/>
          <w:lang w:val="en-US" w:eastAsia="zh-CN"/>
        </w:rPr>
      </w:pPr>
      <w:bookmarkStart w:id="128" w:name="OLE_LINK5"/>
      <w:r>
        <w:rPr>
          <w:rFonts w:hint="eastAsia"/>
          <w:lang w:val="en-US" w:eastAsia="zh-CN"/>
        </w:rPr>
        <w:t xml:space="preserve"> 免疫反应</w:t>
      </w:r>
    </w:p>
    <w:p>
      <w:pPr>
        <w:ind w:firstLine="420" w:firstLineChars="0"/>
      </w:pPr>
      <w:r>
        <w:rPr>
          <w:rFonts w:hint="eastAsia"/>
        </w:rPr>
        <w:t>封闭：采用5</w:t>
      </w:r>
      <w:r>
        <w:t xml:space="preserve"> </w:t>
      </w:r>
      <w:r>
        <w:rPr>
          <w:rFonts w:hint="eastAsia"/>
        </w:rPr>
        <w:t>m</w:t>
      </w:r>
      <w:r>
        <w:t>L</w:t>
      </w:r>
      <w:r>
        <w:rPr>
          <w:rFonts w:hint="eastAsia"/>
        </w:rPr>
        <w:t>的5%的脱脂奶粉</w:t>
      </w:r>
      <w:r>
        <w:rPr>
          <w:rFonts w:hint="eastAsia"/>
          <w:lang w:eastAsia="zh-CN"/>
        </w:rPr>
        <w:t>对PVDF膜进行1</w:t>
      </w:r>
      <w:r>
        <w:rPr>
          <w:rFonts w:hint="default"/>
          <w:lang w:val="en-US" w:eastAsia="zh-CN"/>
        </w:rPr>
        <w:t xml:space="preserve"> h</w:t>
      </w:r>
      <w:r>
        <w:rPr>
          <w:rFonts w:hint="eastAsia"/>
        </w:rPr>
        <w:t>封闭</w:t>
      </w:r>
      <w:r>
        <w:rPr>
          <w:rFonts w:hint="eastAsia"/>
          <w:lang w:eastAsia="zh-CN"/>
        </w:rPr>
        <w:t>处理</w:t>
      </w:r>
      <w:r>
        <w:rPr>
          <w:rFonts w:hint="eastAsia"/>
        </w:rPr>
        <w:t>，以</w:t>
      </w:r>
      <w:r>
        <w:rPr>
          <w:rFonts w:hint="eastAsia"/>
          <w:lang w:eastAsia="zh-CN"/>
        </w:rPr>
        <w:t>屏蔽</w:t>
      </w:r>
      <w:r>
        <w:rPr>
          <w:rFonts w:hint="eastAsia"/>
        </w:rPr>
        <w:t>膜上的非特异性结合</w:t>
      </w:r>
      <w:r>
        <w:rPr>
          <w:rFonts w:hint="eastAsia"/>
          <w:lang w:eastAsia="zh-CN"/>
        </w:rPr>
        <w:t>位点</w:t>
      </w:r>
      <w:r>
        <w:rPr>
          <w:rFonts w:hint="eastAsia"/>
        </w:rPr>
        <w:t>。</w:t>
      </w:r>
    </w:p>
    <w:p>
      <w:pPr>
        <w:ind w:firstLine="420" w:firstLineChars="0"/>
      </w:pPr>
      <w:r>
        <w:rPr>
          <w:rFonts w:hint="eastAsia"/>
        </w:rPr>
        <w:t>一抗孵育：封闭完成后用TBST洗PVDF膜3次，每次10</w:t>
      </w:r>
      <w:r>
        <w:t xml:space="preserve"> </w:t>
      </w:r>
      <w:r>
        <w:rPr>
          <w:rFonts w:hint="eastAsia"/>
        </w:rPr>
        <w:t>min。随后，加入5</w:t>
      </w:r>
      <w:r>
        <w:t xml:space="preserve"> </w:t>
      </w:r>
      <w:r>
        <w:rPr>
          <w:rFonts w:hint="eastAsia"/>
        </w:rPr>
        <w:t>m</w:t>
      </w:r>
      <w:r>
        <w:t>L</w:t>
      </w:r>
      <w:r>
        <w:rPr>
          <w:rFonts w:hint="eastAsia"/>
        </w:rPr>
        <w:t>一抗于4</w:t>
      </w:r>
      <w:r>
        <w:rPr>
          <w:color w:val="000000"/>
        </w:rPr>
        <w:t>℃冰箱</w:t>
      </w:r>
      <w:r>
        <w:rPr>
          <w:rFonts w:hint="eastAsia"/>
        </w:rPr>
        <w:t>孵育过夜。次日，用TBST清洗PVDF膜三次，每次10</w:t>
      </w:r>
      <w:r>
        <w:t xml:space="preserve"> </w:t>
      </w:r>
      <w:r>
        <w:rPr>
          <w:rFonts w:hint="eastAsia"/>
        </w:rPr>
        <w:t>min。</w:t>
      </w:r>
    </w:p>
    <w:p>
      <w:pPr>
        <w:ind w:firstLine="420" w:firstLineChars="0"/>
      </w:pPr>
      <w:r>
        <w:rPr>
          <w:rFonts w:hint="eastAsia"/>
        </w:rPr>
        <w:t>二抗孵育：一抗孵育完</w:t>
      </w:r>
      <w:r>
        <w:rPr>
          <w:rFonts w:hint="eastAsia"/>
          <w:lang w:val="en-US" w:eastAsia="zh-CN"/>
        </w:rPr>
        <w:t>毕</w:t>
      </w:r>
      <w:r>
        <w:rPr>
          <w:rFonts w:hint="eastAsia"/>
        </w:rPr>
        <w:t>后</w:t>
      </w:r>
      <w:r>
        <w:rPr>
          <w:rFonts w:hint="eastAsia"/>
          <w:lang w:val="en-US" w:eastAsia="zh-CN"/>
        </w:rPr>
        <w:t>采</w:t>
      </w:r>
      <w:r>
        <w:rPr>
          <w:rFonts w:hint="eastAsia"/>
        </w:rPr>
        <w:t>用TBST洗PVDF膜3次，每次10</w:t>
      </w:r>
      <w:r>
        <w:t xml:space="preserve"> </w:t>
      </w:r>
      <w:r>
        <w:rPr>
          <w:rFonts w:hint="eastAsia"/>
        </w:rPr>
        <w:t>min。随后，将PVDF膜与二抗</w:t>
      </w:r>
      <w:r>
        <w:t>(</w:t>
      </w:r>
      <w:r>
        <w:rPr>
          <w:rFonts w:hint="eastAsia"/>
        </w:rPr>
        <w:t>山羊抗兔</w:t>
      </w:r>
      <w:r>
        <w:t>)</w:t>
      </w:r>
      <w:r>
        <w:rPr>
          <w:rFonts w:hint="eastAsia"/>
        </w:rPr>
        <w:t>在室温条件下孵育1</w:t>
      </w:r>
      <w:r>
        <w:rPr>
          <w:rFonts w:hint="eastAsia"/>
          <w:lang w:val="en-US" w:eastAsia="zh-CN"/>
        </w:rPr>
        <w:t xml:space="preserve"> </w:t>
      </w:r>
      <w:r>
        <w:rPr>
          <w:rFonts w:hint="eastAsia"/>
        </w:rPr>
        <w:t>h，孵育</w:t>
      </w:r>
      <w:r>
        <w:rPr>
          <w:rFonts w:hint="eastAsia"/>
          <w:lang w:val="en-US" w:eastAsia="zh-CN"/>
        </w:rPr>
        <w:t>结束</w:t>
      </w:r>
      <w:r>
        <w:rPr>
          <w:rFonts w:hint="eastAsia"/>
        </w:rPr>
        <w:t>后用TBST清洗膜三次，每次10</w:t>
      </w:r>
      <w:r>
        <w:t xml:space="preserve"> </w:t>
      </w:r>
      <w:r>
        <w:rPr>
          <w:rFonts w:hint="eastAsia"/>
        </w:rPr>
        <w:t>min。</w:t>
      </w:r>
    </w:p>
    <w:p>
      <w:pPr>
        <w:pStyle w:val="33"/>
        <w:numPr>
          <w:ilvl w:val="0"/>
          <w:numId w:val="3"/>
        </w:numPr>
        <w:ind w:leftChars="0"/>
        <w:rPr>
          <w:rFonts w:hint="eastAsia"/>
          <w:lang w:val="en-US" w:eastAsia="zh-CN"/>
        </w:rPr>
      </w:pPr>
      <w:r>
        <w:rPr>
          <w:rFonts w:hint="eastAsia"/>
          <w:lang w:val="en-US" w:eastAsia="zh-CN"/>
        </w:rPr>
        <w:t xml:space="preserve"> 显影</w:t>
      </w:r>
    </w:p>
    <w:p>
      <w:pPr>
        <w:ind w:firstLine="420" w:firstLineChars="0"/>
      </w:pPr>
      <w:r>
        <w:rPr>
          <w:rFonts w:hint="eastAsia"/>
        </w:rPr>
        <w:t>ECL试剂A和B等体积均匀混合后，将PVDF膜浸泡其中，随后使用</w:t>
      </w:r>
      <w:r>
        <w:t>Image Lab</w:t>
      </w:r>
      <w:r>
        <w:rPr>
          <w:rFonts w:hint="eastAsia"/>
        </w:rPr>
        <w:t>成像系统进行成像分析。</w:t>
      </w:r>
      <w:bookmarkEnd w:id="128"/>
      <w:r>
        <w:rPr>
          <w:rFonts w:hint="eastAsia"/>
        </w:rPr>
        <w:t xml:space="preserve"> </w:t>
      </w:r>
    </w:p>
    <w:p>
      <w:pPr>
        <w:pStyle w:val="3"/>
        <w:numPr>
          <w:ilvl w:val="1"/>
          <w:numId w:val="2"/>
        </w:numPr>
      </w:pPr>
      <w:r>
        <w:rPr>
          <w:rFonts w:hint="eastAsia"/>
        </w:rPr>
        <w:t xml:space="preserve"> </w:t>
      </w:r>
      <w:bookmarkStart w:id="129" w:name="_Toc164609476"/>
      <w:bookmarkStart w:id="130" w:name="_Toc4394"/>
      <w:r>
        <w:rPr>
          <w:rFonts w:hint="eastAsia"/>
        </w:rPr>
        <w:t>细胞增殖实验（</w:t>
      </w:r>
      <w:r>
        <w:rPr>
          <w:rFonts w:ascii="Times New Roman" w:hAnsi="Times New Roman" w:cs="Times New Roman"/>
        </w:rPr>
        <w:t>EdU</w:t>
      </w:r>
      <w:r>
        <w:rPr>
          <w:rFonts w:hint="eastAsia"/>
        </w:rPr>
        <w:t>）</w:t>
      </w:r>
      <w:bookmarkEnd w:id="129"/>
      <w:bookmarkEnd w:id="130"/>
    </w:p>
    <w:p>
      <w:pPr>
        <w:ind w:firstLine="420" w:firstLineChars="0"/>
      </w:pPr>
      <w:r>
        <w:rPr>
          <w:rFonts w:hint="eastAsia"/>
        </w:rPr>
        <w:t>参考文献方法</w:t>
      </w:r>
      <w:r>
        <w:rPr>
          <w:vertAlign w:val="superscript"/>
        </w:rPr>
        <w:fldChar w:fldCharType="begin"/>
      </w:r>
      <w:r>
        <w:rPr>
          <w:vertAlign w:val="superscript"/>
        </w:rPr>
        <w:instrText xml:space="preserve"> </w:instrText>
      </w:r>
      <w:r>
        <w:rPr>
          <w:rFonts w:hint="eastAsia"/>
          <w:vertAlign w:val="superscript"/>
        </w:rPr>
        <w:instrText xml:space="preserve">REF _Ref164246392 \r \h</w:instrText>
      </w:r>
      <w:r>
        <w:rPr>
          <w:vertAlign w:val="superscript"/>
        </w:rPr>
        <w:instrText xml:space="preserve">  \* MERGEFORMAT </w:instrText>
      </w:r>
      <w:r>
        <w:rPr>
          <w:vertAlign w:val="superscript"/>
        </w:rPr>
        <w:fldChar w:fldCharType="separate"/>
      </w:r>
      <w:r>
        <w:rPr>
          <w:vertAlign w:val="superscript"/>
        </w:rPr>
        <w:t>[71]</w:t>
      </w:r>
      <w:r>
        <w:rPr>
          <w:vertAlign w:val="superscript"/>
        </w:rPr>
        <w:fldChar w:fldCharType="end"/>
      </w:r>
      <w:r>
        <w:rPr>
          <w:rFonts w:hint="eastAsia"/>
        </w:rPr>
        <w:t>，培养对数生长期的细胞并将EdU加入细胞培养液中，使EdU渗透正在进行DNA复制的（S期）的细胞内。随后对细胞固定、洗涤，通过化学偶联将EdU与荧光标记物相结合，以此评估细胞的增殖情况，并使用显微照片拍摄记录</w:t>
      </w:r>
    </w:p>
    <w:p>
      <w:pPr>
        <w:pStyle w:val="3"/>
        <w:numPr>
          <w:ilvl w:val="1"/>
          <w:numId w:val="2"/>
        </w:numPr>
      </w:pPr>
      <w:r>
        <w:rPr>
          <w:rFonts w:hint="eastAsia"/>
        </w:rPr>
        <w:t xml:space="preserve"> </w:t>
      </w:r>
      <w:bookmarkStart w:id="131" w:name="_Toc164609477"/>
      <w:bookmarkStart w:id="132" w:name="_Toc4258"/>
      <w:r>
        <w:rPr>
          <w:rFonts w:hint="eastAsia"/>
        </w:rPr>
        <w:t>细胞迁移实验（</w:t>
      </w:r>
      <w:r>
        <w:rPr>
          <w:rFonts w:ascii="Times New Roman" w:hAnsi="Times New Roman" w:cs="Times New Roman"/>
        </w:rPr>
        <w:t>Transwell</w:t>
      </w:r>
      <w:r>
        <w:rPr>
          <w:rFonts w:hint="eastAsia"/>
        </w:rPr>
        <w:t>）</w:t>
      </w:r>
      <w:bookmarkEnd w:id="131"/>
      <w:bookmarkEnd w:id="132"/>
    </w:p>
    <w:p>
      <w:pPr>
        <w:ind w:firstLine="420" w:firstLineChars="0"/>
        <w:rPr>
          <w:rFonts w:hint="eastAsia"/>
        </w:rPr>
      </w:pPr>
      <w:r>
        <w:rPr>
          <w:rFonts w:hint="eastAsia"/>
        </w:rPr>
        <w:t>参考文献方法</w:t>
      </w:r>
      <w:r>
        <w:rPr>
          <w:vertAlign w:val="superscript"/>
        </w:rPr>
        <w:fldChar w:fldCharType="begin"/>
      </w:r>
      <w:r>
        <w:rPr>
          <w:vertAlign w:val="superscript"/>
        </w:rPr>
        <w:instrText xml:space="preserve"> </w:instrText>
      </w:r>
      <w:r>
        <w:rPr>
          <w:rFonts w:hint="eastAsia"/>
          <w:vertAlign w:val="superscript"/>
        </w:rPr>
        <w:instrText xml:space="preserve">REF _Ref164246401 \r \h</w:instrText>
      </w:r>
      <w:r>
        <w:rPr>
          <w:vertAlign w:val="superscript"/>
        </w:rPr>
        <w:instrText xml:space="preserve">  \* MERGEFORMAT </w:instrText>
      </w:r>
      <w:r>
        <w:rPr>
          <w:vertAlign w:val="superscript"/>
        </w:rPr>
        <w:fldChar w:fldCharType="separate"/>
      </w:r>
      <w:r>
        <w:rPr>
          <w:vertAlign w:val="superscript"/>
        </w:rPr>
        <w:t>[72]</w:t>
      </w:r>
      <w:r>
        <w:rPr>
          <w:vertAlign w:val="superscript"/>
        </w:rPr>
        <w:fldChar w:fldCharType="end"/>
      </w:r>
      <w:r>
        <w:rPr>
          <w:rFonts w:hint="eastAsia"/>
        </w:rPr>
        <w:t>，将处理后的细胞悬液加入Transwell小室上室，下室填充具有诱导迁移能力的培养基。在恒温条件下孵育，促使细胞尝试透过膜孔迁移。孵育完成后对细胞固定、染色识别并统计成功迁移到下室的细胞数目，从而评估细胞的迁移情况，在显微镜下拍照。</w:t>
      </w:r>
    </w:p>
    <w:p>
      <w:pPr>
        <w:pStyle w:val="3"/>
        <w:numPr>
          <w:ilvl w:val="1"/>
          <w:numId w:val="2"/>
        </w:numPr>
        <w:rPr>
          <w:rFonts w:hint="eastAsia"/>
          <w:lang w:eastAsia="zh-CN"/>
        </w:rPr>
      </w:pPr>
      <w:r>
        <w:rPr>
          <w:rFonts w:hint="default"/>
          <w:lang w:val="en-US" w:eastAsia="zh-CN"/>
        </w:rPr>
        <w:t xml:space="preserve"> </w:t>
      </w:r>
      <w:bookmarkStart w:id="133" w:name="_Toc27680"/>
      <w:r>
        <w:rPr>
          <w:rFonts w:hint="eastAsia"/>
          <w:lang w:eastAsia="zh-CN"/>
        </w:rPr>
        <w:t>免疫荧光实验</w:t>
      </w:r>
      <w:bookmarkEnd w:id="133"/>
    </w:p>
    <w:p>
      <w:pPr>
        <w:ind w:firstLine="420" w:firstLineChars="0"/>
        <w:rPr>
          <w:rFonts w:hint="eastAsia"/>
        </w:rPr>
      </w:pPr>
      <w:r>
        <w:rPr>
          <w:rFonts w:hint="eastAsia"/>
          <w:lang w:eastAsia="zh-CN"/>
        </w:rPr>
        <w:t>参考文献方法，</w:t>
      </w:r>
      <w:r>
        <w:rPr>
          <w:rFonts w:hint="eastAsia"/>
        </w:rPr>
        <w:t>固定细胞</w:t>
      </w:r>
      <w:r>
        <w:rPr>
          <w:rFonts w:hint="eastAsia"/>
          <w:lang w:eastAsia="zh-CN"/>
        </w:rPr>
        <w:t>并用</w:t>
      </w:r>
      <w:r>
        <w:rPr>
          <w:rFonts w:hint="eastAsia"/>
        </w:rPr>
        <w:t>血清封闭</w:t>
      </w:r>
      <w:r>
        <w:rPr>
          <w:rFonts w:hint="eastAsia"/>
          <w:lang w:eastAsia="zh-CN"/>
        </w:rPr>
        <w:t>，</w:t>
      </w:r>
      <w:r>
        <w:rPr>
          <w:rFonts w:hint="eastAsia"/>
        </w:rPr>
        <w:t>分别孵育α-SMA与Collagen Ⅰ的一抗</w:t>
      </w:r>
      <w:r>
        <w:rPr>
          <w:rFonts w:hint="eastAsia"/>
          <w:lang w:eastAsia="zh-CN"/>
        </w:rPr>
        <w:t>并于孵育结束后</w:t>
      </w:r>
      <w:r>
        <w:rPr>
          <w:rFonts w:hint="eastAsia"/>
        </w:rPr>
        <w:t>洗脱</w:t>
      </w:r>
      <w:r>
        <w:rPr>
          <w:rFonts w:hint="eastAsia"/>
          <w:lang w:eastAsia="zh-CN"/>
        </w:rPr>
        <w:t>，再</w:t>
      </w:r>
      <w:r>
        <w:rPr>
          <w:rFonts w:hint="eastAsia"/>
        </w:rPr>
        <w:t>孵育相应荧光标记的二抗</w:t>
      </w:r>
      <w:r>
        <w:rPr>
          <w:rFonts w:hint="eastAsia"/>
          <w:lang w:eastAsia="zh-CN"/>
        </w:rPr>
        <w:t>于结束后</w:t>
      </w:r>
      <w:r>
        <w:rPr>
          <w:rFonts w:hint="eastAsia"/>
        </w:rPr>
        <w:t>洗脱</w:t>
      </w:r>
      <w:r>
        <w:rPr>
          <w:rFonts w:hint="eastAsia"/>
          <w:lang w:eastAsia="zh-CN"/>
        </w:rPr>
        <w:t>并</w:t>
      </w:r>
      <w:r>
        <w:rPr>
          <w:rFonts w:hint="eastAsia"/>
        </w:rPr>
        <w:t>封片。通过荧光显微镜观察绿色</w:t>
      </w:r>
      <w:r>
        <w:rPr>
          <w:rFonts w:hint="eastAsia"/>
          <w:lang w:eastAsia="zh-CN"/>
        </w:rPr>
        <w:t>（</w:t>
      </w:r>
      <w:r>
        <w:t>α-SMA</w:t>
      </w:r>
      <w:r>
        <w:rPr>
          <w:rFonts w:hint="eastAsia"/>
          <w:lang w:eastAsia="zh-CN"/>
        </w:rPr>
        <w:t>）</w:t>
      </w:r>
      <w:r>
        <w:rPr>
          <w:rFonts w:hint="eastAsia"/>
        </w:rPr>
        <w:t>和红色</w:t>
      </w:r>
      <w:r>
        <w:rPr>
          <w:rFonts w:hint="eastAsia"/>
          <w:lang w:eastAsia="zh-CN"/>
        </w:rPr>
        <w:t>（</w:t>
      </w:r>
      <w:r>
        <w:t>CollengeⅠ</w:t>
      </w:r>
      <w:r>
        <w:rPr>
          <w:rFonts w:hint="eastAsia"/>
          <w:lang w:eastAsia="zh-CN"/>
        </w:rPr>
        <w:t>）</w:t>
      </w:r>
      <w:r>
        <w:rPr>
          <w:rFonts w:hint="eastAsia"/>
        </w:rPr>
        <w:t>荧光信号，直观反映两种</w:t>
      </w:r>
      <w:r>
        <w:rPr>
          <w:rFonts w:hint="eastAsia"/>
          <w:lang w:eastAsia="zh-CN"/>
        </w:rPr>
        <w:t>纤维化标志</w:t>
      </w:r>
      <w:r>
        <w:rPr>
          <w:rFonts w:hint="eastAsia"/>
        </w:rPr>
        <w:t>蛋白在细胞内的分布与表达强度。</w:t>
      </w:r>
    </w:p>
    <w:p>
      <w:pPr>
        <w:pStyle w:val="3"/>
        <w:numPr>
          <w:ilvl w:val="1"/>
          <w:numId w:val="2"/>
        </w:numPr>
      </w:pPr>
      <w:r>
        <w:rPr>
          <w:rFonts w:hint="eastAsia"/>
        </w:rPr>
        <w:t xml:space="preserve"> </w:t>
      </w:r>
      <w:bookmarkStart w:id="134" w:name="_Toc164609478"/>
      <w:bookmarkStart w:id="135" w:name="_Toc2209"/>
      <w:r>
        <w:rPr>
          <w:rFonts w:hint="eastAsia"/>
        </w:rPr>
        <w:t>统计学方法</w:t>
      </w:r>
      <w:bookmarkEnd w:id="134"/>
      <w:bookmarkEnd w:id="135"/>
    </w:p>
    <w:p>
      <w:pPr>
        <w:ind w:firstLine="420" w:firstLineChars="0"/>
      </w:pPr>
      <w:r>
        <w:rPr>
          <w:rFonts w:hint="eastAsia"/>
        </w:rPr>
        <w:t>实验所得数据均源自三个以上独立实验，结果显示以平均值±标准差表示，并运用GraphPad Prism 9.0软件进行单因素方差分析，以评估数据间的统计学显著性。</w:t>
      </w:r>
      <w:r>
        <w:rPr>
          <w:rFonts w:hint="eastAsia"/>
          <w:i/>
          <w:iCs/>
        </w:rPr>
        <w:t>P</w:t>
      </w:r>
      <w:r>
        <w:rPr>
          <w:i/>
          <w:iCs/>
        </w:rPr>
        <w:t xml:space="preserve"> &lt;</w:t>
      </w:r>
      <w:r>
        <w:rPr>
          <w:rFonts w:hint="eastAsia"/>
          <w:i/>
          <w:iCs/>
        </w:rPr>
        <w:t xml:space="preserve"> </w:t>
      </w:r>
      <w:r>
        <w:rPr>
          <w:rFonts w:hint="eastAsia"/>
          <w:i w:val="0"/>
          <w:iCs w:val="0"/>
        </w:rPr>
        <w:t>0.05</w:t>
      </w:r>
      <w:r>
        <w:rPr>
          <w:rFonts w:hint="eastAsia"/>
        </w:rPr>
        <w:t>视为差异显著，</w:t>
      </w:r>
      <w:r>
        <w:rPr>
          <w:i/>
        </w:rPr>
        <w:t xml:space="preserve">P </w:t>
      </w:r>
      <w:r>
        <w:rPr>
          <w:rFonts w:hint="eastAsia"/>
          <w:i/>
        </w:rPr>
        <w:t xml:space="preserve">&lt; </w:t>
      </w:r>
      <w:r>
        <w:rPr>
          <w:rFonts w:hint="eastAsia"/>
          <w:i w:val="0"/>
          <w:iCs/>
        </w:rPr>
        <w:t>0.01</w:t>
      </w:r>
      <w:r>
        <w:rPr>
          <w:rFonts w:hint="eastAsia"/>
        </w:rPr>
        <w:t>为极显著差异。借助Image J软件对免疫印迹实验中的蛋白条带灰度值进行量化分析。</w:t>
      </w:r>
    </w:p>
    <w:p>
      <w:pPr>
        <w:pStyle w:val="2"/>
        <w:numPr>
          <w:ilvl w:val="0"/>
          <w:numId w:val="2"/>
        </w:numPr>
      </w:pPr>
      <w:bookmarkStart w:id="136" w:name="_Toc7070"/>
      <w:r>
        <w:rPr>
          <w:rFonts w:hint="eastAsia"/>
        </w:rPr>
        <w:t xml:space="preserve"> </w:t>
      </w:r>
      <w:bookmarkStart w:id="137" w:name="_Toc164609479"/>
      <w:bookmarkStart w:id="138" w:name="_Toc12321"/>
      <w:r>
        <w:rPr>
          <w:rFonts w:hint="eastAsia"/>
        </w:rPr>
        <w:t>实验结果与分析</w:t>
      </w:r>
      <w:bookmarkEnd w:id="136"/>
      <w:bookmarkEnd w:id="137"/>
      <w:bookmarkEnd w:id="138"/>
    </w:p>
    <w:p>
      <w:pPr>
        <w:pStyle w:val="3"/>
        <w:numPr>
          <w:ilvl w:val="1"/>
          <w:numId w:val="2"/>
        </w:numPr>
      </w:pPr>
      <w:bookmarkStart w:id="139" w:name="_Toc3980"/>
      <w:r>
        <w:rPr>
          <w:rFonts w:hint="eastAsia"/>
        </w:rPr>
        <w:t xml:space="preserve"> </w:t>
      </w:r>
      <w:bookmarkStart w:id="140" w:name="_Toc164609480"/>
      <w:bookmarkStart w:id="141" w:name="_Toc25800"/>
      <w:r>
        <w:rPr>
          <w:rFonts w:hint="default" w:ascii="Times New Roman" w:hAnsi="Times New Roman" w:cs="Times New Roman"/>
        </w:rPr>
        <w:t>SCL</w:t>
      </w:r>
      <w:r>
        <w:rPr>
          <w:rFonts w:hint="eastAsia"/>
        </w:rPr>
        <w:t>对</w:t>
      </w:r>
      <w:r>
        <w:rPr>
          <w:rFonts w:hint="default" w:ascii="Times New Roman" w:hAnsi="Times New Roman" w:cs="Times New Roman"/>
        </w:rPr>
        <w:t>LX-2</w:t>
      </w:r>
      <w:r>
        <w:rPr>
          <w:rFonts w:hint="eastAsia"/>
        </w:rPr>
        <w:t>细胞迁移能力的影响</w:t>
      </w:r>
      <w:bookmarkEnd w:id="139"/>
      <w:bookmarkEnd w:id="140"/>
      <w:bookmarkEnd w:id="141"/>
    </w:p>
    <w:p>
      <w:pPr>
        <w:ind w:firstLine="420" w:firstLineChars="0"/>
      </w:pPr>
      <w:r>
        <w:rPr>
          <w:rFonts w:hint="eastAsia"/>
        </w:rPr>
        <w:t>通过Transwell实验，评估</w:t>
      </w:r>
      <w:r>
        <w:t>SCL</w:t>
      </w:r>
      <w:r>
        <w:rPr>
          <w:rFonts w:hint="eastAsia"/>
        </w:rPr>
        <w:t>对</w:t>
      </w:r>
      <w:r>
        <w:t>TGF-β1</w:t>
      </w:r>
      <w:r>
        <w:rPr>
          <w:rFonts w:hint="eastAsia"/>
        </w:rPr>
        <w:t>诱导的LX-2 细胞迁移能力的影响。结果如图</w:t>
      </w:r>
      <w:r>
        <w:rPr>
          <w:rFonts w:hint="eastAsia"/>
          <w:lang w:eastAsia="zh-CN"/>
        </w:rPr>
        <w:t>2</w:t>
      </w:r>
      <w:r>
        <w:rPr>
          <w:rFonts w:hint="eastAsia"/>
        </w:rPr>
        <w:t>所示，经过</w:t>
      </w:r>
      <w:r>
        <w:t>TGF-β1</w:t>
      </w:r>
      <w:r>
        <w:rPr>
          <w:rFonts w:hint="eastAsia"/>
        </w:rPr>
        <w:t>刺激的模型组细胞相较空白组细胞，迁移能力显著增强（</w:t>
      </w:r>
      <w:r>
        <w:rPr>
          <w:i/>
        </w:rPr>
        <w:t>P</w:t>
      </w:r>
      <w:r>
        <w:rPr>
          <w:rFonts w:hint="eastAsia"/>
          <w:i/>
        </w:rPr>
        <w:t xml:space="preserve"> </w:t>
      </w:r>
      <w:r>
        <w:t>&gt; 0.01</w:t>
      </w:r>
      <w:r>
        <w:rPr>
          <w:rFonts w:hint="eastAsia"/>
        </w:rPr>
        <w:t>）。当给与</w:t>
      </w:r>
      <w:r>
        <w:t>SCL</w:t>
      </w:r>
      <w:r>
        <w:rPr>
          <w:rFonts w:hint="eastAsia"/>
        </w:rPr>
        <w:t>处理后，细胞的迁移活性明显受到抑制，且随着</w:t>
      </w:r>
      <w:r>
        <w:t>SCL</w:t>
      </w:r>
      <w:r>
        <w:rPr>
          <w:rFonts w:hint="eastAsia"/>
        </w:rPr>
        <w:t>浓度的增大，</w:t>
      </w:r>
      <w:r>
        <w:t>LX-2</w:t>
      </w:r>
      <w:r>
        <w:rPr>
          <w:rFonts w:hint="eastAsia"/>
        </w:rPr>
        <w:t>细胞的迁移能力减弱（</w:t>
      </w:r>
      <w:r>
        <w:rPr>
          <w:i/>
        </w:rPr>
        <w:t>P</w:t>
      </w:r>
      <w:r>
        <w:t xml:space="preserve"> &lt; 0.01</w:t>
      </w:r>
      <w:r>
        <w:rPr>
          <w:rFonts w:hint="eastAsia"/>
        </w:rPr>
        <w:t>）。结果表明，</w:t>
      </w:r>
      <w:r>
        <w:t>SCL</w:t>
      </w:r>
      <w:r>
        <w:rPr>
          <w:rFonts w:hint="eastAsia"/>
        </w:rPr>
        <w:t>具有抑制</w:t>
      </w:r>
      <w:r>
        <w:t>TGF-β1</w:t>
      </w:r>
      <w:r>
        <w:rPr>
          <w:rFonts w:hint="eastAsia"/>
        </w:rPr>
        <w:t>诱导的LX-2 细胞迁移的能力。</w:t>
      </w:r>
    </w:p>
    <w:p>
      <w:pPr>
        <w:jc w:val="center"/>
        <w:rPr>
          <w:rFonts w:ascii="黑体" w:hAnsi="黑体" w:eastAsia="黑体"/>
        </w:rPr>
      </w:pPr>
      <w:r>
        <w:drawing>
          <wp:inline distT="0" distB="0" distL="0" distR="0">
            <wp:extent cx="3776345" cy="1111885"/>
            <wp:effectExtent l="0" t="0" r="0" b="0"/>
            <wp:docPr id="17311919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91997" name="图片 4"/>
                    <pic:cNvPicPr>
                      <a:picLocks noChangeAspect="1"/>
                    </pic:cNvPicPr>
                  </pic:nvPicPr>
                  <pic:blipFill>
                    <a:blip r:embed="rId10" cstate="print">
                      <a:extLst>
                        <a:ext uri="{28A0092B-C50C-407E-A947-70E740481C1C}">
                          <a14:useLocalDpi xmlns:a14="http://schemas.microsoft.com/office/drawing/2010/main" val="0"/>
                        </a:ext>
                      </a:extLst>
                    </a:blip>
                    <a:srcRect l="18540" t="10157" r="30476" b="79229"/>
                    <a:stretch>
                      <a:fillRect/>
                    </a:stretch>
                  </pic:blipFill>
                  <pic:spPr>
                    <a:xfrm>
                      <a:off x="0" y="0"/>
                      <a:ext cx="3776345" cy="1111885"/>
                    </a:xfrm>
                    <a:prstGeom prst="rect">
                      <a:avLst/>
                    </a:prstGeom>
                    <a:ln>
                      <a:noFill/>
                    </a:ln>
                  </pic:spPr>
                </pic:pic>
              </a:graphicData>
            </a:graphic>
          </wp:inline>
        </w:drawing>
      </w:r>
      <w:r>
        <w:drawing>
          <wp:inline distT="0" distB="0" distL="0" distR="0">
            <wp:extent cx="1364615" cy="1103630"/>
            <wp:effectExtent l="0" t="0" r="6985" b="8890"/>
            <wp:docPr id="8" name="图片 8" descr="Transwell（40倍）  半定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ranswell（40倍）  半定量"/>
                    <pic:cNvPicPr>
                      <a:picLocks noChangeAspect="1"/>
                    </pic:cNvPicPr>
                  </pic:nvPicPr>
                  <pic:blipFill>
                    <a:blip r:embed="rId11"/>
                    <a:srcRect l="33510" t="22584" r="40730" b="62690"/>
                    <a:stretch>
                      <a:fillRect/>
                    </a:stretch>
                  </pic:blipFill>
                  <pic:spPr>
                    <a:xfrm>
                      <a:off x="0" y="0"/>
                      <a:ext cx="1364615" cy="1103630"/>
                    </a:xfrm>
                    <a:prstGeom prst="rect">
                      <a:avLst/>
                    </a:prstGeom>
                  </pic:spPr>
                </pic:pic>
              </a:graphicData>
            </a:graphic>
          </wp:inline>
        </w:drawing>
      </w:r>
    </w:p>
    <w:p>
      <w:pPr>
        <w:ind w:firstLine="420" w:firstLineChars="0"/>
        <w:jc w:val="center"/>
        <w:rPr>
          <w:rFonts w:hint="eastAsia"/>
          <w:sz w:val="18"/>
          <w:szCs w:val="18"/>
        </w:rPr>
      </w:pPr>
      <w:r>
        <w:rPr>
          <w:rFonts w:hint="eastAsia"/>
          <w:sz w:val="18"/>
          <w:szCs w:val="18"/>
        </w:rPr>
        <w:t>图2 SCL对TGF-β1诱导的LX-2肝星状细胞的迁移能力的影响（40×）（n=3）</w:t>
      </w:r>
    </w:p>
    <w:p>
      <w:pPr>
        <w:ind w:firstLine="420" w:firstLineChars="0"/>
        <w:jc w:val="center"/>
        <w:rPr>
          <w:rFonts w:hint="default" w:eastAsia="宋体"/>
          <w:sz w:val="18"/>
          <w:szCs w:val="18"/>
          <w:lang w:val="en-US" w:eastAsia="zh-CN"/>
        </w:rPr>
      </w:pPr>
      <w:r>
        <w:rPr>
          <w:rFonts w:hint="eastAsia"/>
          <w:sz w:val="18"/>
          <w:szCs w:val="18"/>
          <w:lang w:val="en-US" w:eastAsia="zh-CN"/>
        </w:rPr>
        <w:t>注：与空白组对比，</w:t>
      </w:r>
      <w:r>
        <w:rPr>
          <w:rFonts w:hint="eastAsia"/>
          <w:sz w:val="18"/>
          <w:szCs w:val="18"/>
          <w:vertAlign w:val="superscript"/>
          <w:lang w:val="en-US" w:eastAsia="zh-CN"/>
        </w:rPr>
        <w:t>#</w:t>
      </w:r>
      <w:r>
        <w:rPr>
          <w:rFonts w:hint="eastAsia"/>
          <w:i/>
          <w:iCs/>
          <w:sz w:val="18"/>
          <w:szCs w:val="18"/>
          <w:lang w:val="en-US" w:eastAsia="zh-CN"/>
        </w:rPr>
        <w:t>P</w:t>
      </w:r>
      <w:r>
        <w:rPr>
          <w:rFonts w:hint="eastAsia"/>
          <w:sz w:val="18"/>
          <w:szCs w:val="18"/>
          <w:lang w:val="en-US" w:eastAsia="zh-CN"/>
        </w:rPr>
        <w:t xml:space="preserve"> &lt; 0.05,</w:t>
      </w:r>
      <w:r>
        <w:rPr>
          <w:rFonts w:hint="eastAsia"/>
          <w:sz w:val="18"/>
          <w:szCs w:val="18"/>
          <w:vertAlign w:val="superscript"/>
          <w:lang w:val="en-US" w:eastAsia="zh-CN"/>
        </w:rPr>
        <w:t>##</w:t>
      </w:r>
      <w:r>
        <w:rPr>
          <w:rFonts w:hint="eastAsia"/>
          <w:i/>
          <w:iCs/>
          <w:sz w:val="18"/>
          <w:szCs w:val="18"/>
          <w:lang w:val="en-US" w:eastAsia="zh-CN"/>
        </w:rPr>
        <w:t>P</w:t>
      </w:r>
      <w:r>
        <w:rPr>
          <w:rFonts w:hint="eastAsia"/>
          <w:sz w:val="18"/>
          <w:szCs w:val="18"/>
          <w:lang w:val="en-US" w:eastAsia="zh-CN"/>
        </w:rPr>
        <w:t xml:space="preserve"> &lt; 0.01;与模型组对比，*</w:t>
      </w:r>
      <w:r>
        <w:rPr>
          <w:rFonts w:hint="eastAsia"/>
          <w:i/>
          <w:iCs/>
          <w:sz w:val="18"/>
          <w:szCs w:val="18"/>
          <w:lang w:val="en-US" w:eastAsia="zh-CN"/>
        </w:rPr>
        <w:t xml:space="preserve">P </w:t>
      </w:r>
      <w:r>
        <w:rPr>
          <w:rFonts w:hint="eastAsia"/>
          <w:sz w:val="18"/>
          <w:szCs w:val="18"/>
          <w:lang w:val="en-US" w:eastAsia="zh-CN"/>
        </w:rPr>
        <w:t>&lt; 0.05,**</w:t>
      </w:r>
      <w:r>
        <w:rPr>
          <w:rFonts w:hint="eastAsia"/>
          <w:i/>
          <w:iCs/>
          <w:sz w:val="18"/>
          <w:szCs w:val="18"/>
          <w:lang w:val="en-US" w:eastAsia="zh-CN"/>
        </w:rPr>
        <w:t xml:space="preserve">P </w:t>
      </w:r>
      <w:r>
        <w:rPr>
          <w:rFonts w:hint="eastAsia"/>
          <w:sz w:val="18"/>
          <w:szCs w:val="18"/>
          <w:lang w:val="en-US" w:eastAsia="zh-CN"/>
        </w:rPr>
        <w:t>&lt; 0.01</w:t>
      </w:r>
    </w:p>
    <w:p>
      <w:pPr>
        <w:pStyle w:val="3"/>
        <w:numPr>
          <w:ilvl w:val="1"/>
          <w:numId w:val="2"/>
        </w:numPr>
      </w:pPr>
      <w:bookmarkStart w:id="142" w:name="_Toc25471"/>
      <w:r>
        <w:rPr>
          <w:rFonts w:hint="eastAsia"/>
        </w:rPr>
        <w:t xml:space="preserve"> </w:t>
      </w:r>
      <w:bookmarkStart w:id="143" w:name="_Toc164609481"/>
      <w:bookmarkStart w:id="144" w:name="_Toc7883"/>
      <w:r>
        <w:rPr>
          <w:rFonts w:hint="eastAsia" w:ascii="Times New Roman" w:hAnsi="Times New Roman" w:cs="Times New Roman"/>
        </w:rPr>
        <w:t>SCL</w:t>
      </w:r>
      <w:r>
        <w:rPr>
          <w:rFonts w:hint="eastAsia"/>
        </w:rPr>
        <w:t>对</w:t>
      </w:r>
      <w:r>
        <w:rPr>
          <w:rFonts w:hint="eastAsia" w:ascii="Times New Roman" w:hAnsi="Times New Roman" w:cs="Times New Roman"/>
        </w:rPr>
        <w:t>LX-2</w:t>
      </w:r>
      <w:r>
        <w:rPr>
          <w:rFonts w:hint="eastAsia"/>
        </w:rPr>
        <w:t>细胞增殖能力的影响</w:t>
      </w:r>
      <w:bookmarkEnd w:id="142"/>
      <w:bookmarkEnd w:id="143"/>
      <w:bookmarkEnd w:id="144"/>
    </w:p>
    <w:p>
      <w:pPr>
        <w:ind w:firstLine="420" w:firstLineChars="0"/>
      </w:pPr>
      <w:r>
        <w:rPr>
          <w:rFonts w:hint="eastAsia"/>
        </w:rPr>
        <w:t>通过EdU检测法观察细胞增殖情况。结果如图</w:t>
      </w:r>
      <w:r>
        <w:rPr>
          <w:rFonts w:hint="eastAsia"/>
          <w:lang w:eastAsia="zh-CN"/>
        </w:rPr>
        <w:t>3</w:t>
      </w:r>
      <w:r>
        <w:rPr>
          <w:rFonts w:hint="eastAsia"/>
        </w:rPr>
        <w:t>所示，</w:t>
      </w:r>
      <w:r>
        <w:t xml:space="preserve"> TGF-β1</w:t>
      </w:r>
      <w:r>
        <w:rPr>
          <w:rFonts w:hint="eastAsia"/>
        </w:rPr>
        <w:t>刺激的模型组细胞增殖能力</w:t>
      </w:r>
      <w:r>
        <w:t>显著增强</w:t>
      </w:r>
      <w:r>
        <w:rPr>
          <w:rFonts w:hint="eastAsia"/>
        </w:rPr>
        <w:t>（</w:t>
      </w:r>
      <w:r>
        <w:rPr>
          <w:i/>
        </w:rPr>
        <w:t>P</w:t>
      </w:r>
      <w:r>
        <w:t xml:space="preserve"> &gt; 0.01</w:t>
      </w:r>
      <w:r>
        <w:rPr>
          <w:rFonts w:hint="eastAsia"/>
        </w:rPr>
        <w:t>），而</w:t>
      </w:r>
      <w:r>
        <w:t>SCL</w:t>
      </w:r>
      <w:r>
        <w:rPr>
          <w:rFonts w:hint="eastAsia"/>
        </w:rPr>
        <w:t>给药组的增殖情况则被显著抑制了（</w:t>
      </w:r>
      <w:r>
        <w:rPr>
          <w:i/>
        </w:rPr>
        <w:t>P</w:t>
      </w:r>
      <w:r>
        <w:t xml:space="preserve"> </w:t>
      </w:r>
      <w:r>
        <w:rPr>
          <w:rFonts w:hint="eastAsia"/>
        </w:rPr>
        <w:t>&lt;</w:t>
      </w:r>
      <w:r>
        <w:t xml:space="preserve"> </w:t>
      </w:r>
      <w:r>
        <w:rPr>
          <w:rFonts w:hint="eastAsia"/>
        </w:rPr>
        <w:t>0.01）。结果表明，SCL具有抑制</w:t>
      </w:r>
      <w:r>
        <w:t>TGF-β1</w:t>
      </w:r>
      <w:r>
        <w:rPr>
          <w:rFonts w:hint="eastAsia"/>
        </w:rPr>
        <w:t>诱导的LX-2 细胞增殖的能力。</w:t>
      </w:r>
    </w:p>
    <w:p>
      <w:pPr>
        <w:jc w:val="center"/>
      </w:pPr>
      <w:r>
        <w:drawing>
          <wp:inline distT="0" distB="0" distL="0" distR="0">
            <wp:extent cx="3776345" cy="1156970"/>
            <wp:effectExtent l="0" t="0" r="0" b="5080"/>
            <wp:docPr id="14336228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22816" name="图片 3"/>
                    <pic:cNvPicPr>
                      <a:picLocks noChangeAspect="1"/>
                    </pic:cNvPicPr>
                  </pic:nvPicPr>
                  <pic:blipFill>
                    <a:blip r:embed="rId12" cstate="print">
                      <a:extLst>
                        <a:ext uri="{28A0092B-C50C-407E-A947-70E740481C1C}">
                          <a14:useLocalDpi xmlns:a14="http://schemas.microsoft.com/office/drawing/2010/main" val="0"/>
                        </a:ext>
                      </a:extLst>
                    </a:blip>
                    <a:srcRect l="19745" t="10043" r="30481" b="79173"/>
                    <a:stretch>
                      <a:fillRect/>
                    </a:stretch>
                  </pic:blipFill>
                  <pic:spPr>
                    <a:xfrm>
                      <a:off x="0" y="0"/>
                      <a:ext cx="3776345" cy="1156970"/>
                    </a:xfrm>
                    <a:prstGeom prst="rect">
                      <a:avLst/>
                    </a:prstGeom>
                    <a:ln>
                      <a:noFill/>
                    </a:ln>
                  </pic:spPr>
                </pic:pic>
              </a:graphicData>
            </a:graphic>
          </wp:inline>
        </w:drawing>
      </w:r>
      <w:r>
        <w:t xml:space="preserve"> </w:t>
      </w:r>
      <w:r>
        <w:drawing>
          <wp:inline distT="0" distB="0" distL="0" distR="0">
            <wp:extent cx="1364615" cy="1156335"/>
            <wp:effectExtent l="0" t="0" r="6985" b="5715"/>
            <wp:docPr id="9" name="图片 9" descr="EDU（40倍）半定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DU（40倍）半定量"/>
                    <pic:cNvPicPr>
                      <a:picLocks noChangeAspect="1"/>
                    </pic:cNvPicPr>
                  </pic:nvPicPr>
                  <pic:blipFill>
                    <a:blip r:embed="rId13"/>
                    <a:srcRect l="35065" t="21084" r="40670" b="64377"/>
                    <a:stretch>
                      <a:fillRect/>
                    </a:stretch>
                  </pic:blipFill>
                  <pic:spPr>
                    <a:xfrm>
                      <a:off x="0" y="0"/>
                      <a:ext cx="1364615" cy="1156335"/>
                    </a:xfrm>
                    <a:prstGeom prst="rect">
                      <a:avLst/>
                    </a:prstGeom>
                  </pic:spPr>
                </pic:pic>
              </a:graphicData>
            </a:graphic>
          </wp:inline>
        </w:drawing>
      </w:r>
    </w:p>
    <w:p>
      <w:pPr>
        <w:ind w:firstLine="420" w:firstLineChars="0"/>
        <w:jc w:val="center"/>
        <w:rPr>
          <w:rFonts w:hint="eastAsia"/>
          <w:sz w:val="18"/>
          <w:szCs w:val="18"/>
        </w:rPr>
      </w:pPr>
      <w:r>
        <w:rPr>
          <w:rFonts w:hint="eastAsia"/>
          <w:sz w:val="18"/>
          <w:szCs w:val="18"/>
        </w:rPr>
        <w:t>图3 SCL对</w:t>
      </w:r>
      <w:r>
        <w:rPr>
          <w:rFonts w:hint="default" w:ascii="Times New Roman" w:hAnsi="Times New Roman" w:cs="Times New Roman"/>
          <w:sz w:val="18"/>
          <w:szCs w:val="18"/>
        </w:rPr>
        <w:t>TGF-β1</w:t>
      </w:r>
      <w:r>
        <w:rPr>
          <w:rFonts w:hint="eastAsia"/>
          <w:sz w:val="18"/>
          <w:szCs w:val="18"/>
        </w:rPr>
        <w:t>诱导的LX-2肝星状细胞的增殖能力的影响（40×）（n=3）</w:t>
      </w:r>
    </w:p>
    <w:p>
      <w:pPr>
        <w:ind w:firstLine="420" w:firstLineChars="0"/>
        <w:jc w:val="center"/>
        <w:rPr>
          <w:rFonts w:hint="eastAsia"/>
          <w:sz w:val="18"/>
          <w:szCs w:val="18"/>
        </w:rPr>
      </w:pPr>
      <w:r>
        <w:rPr>
          <w:rFonts w:hint="eastAsia"/>
          <w:sz w:val="18"/>
          <w:szCs w:val="18"/>
          <w:lang w:val="en-US" w:eastAsia="zh-CN"/>
        </w:rPr>
        <w:t>注：与空白组对比，</w:t>
      </w:r>
      <w:r>
        <w:rPr>
          <w:rFonts w:hint="eastAsia"/>
          <w:sz w:val="18"/>
          <w:szCs w:val="18"/>
          <w:vertAlign w:val="superscript"/>
          <w:lang w:val="en-US" w:eastAsia="zh-CN"/>
        </w:rPr>
        <w:t>#</w:t>
      </w:r>
      <w:r>
        <w:rPr>
          <w:rFonts w:hint="eastAsia"/>
          <w:i/>
          <w:iCs/>
          <w:sz w:val="18"/>
          <w:szCs w:val="18"/>
          <w:lang w:val="en-US" w:eastAsia="zh-CN"/>
        </w:rPr>
        <w:t xml:space="preserve">P </w:t>
      </w:r>
      <w:r>
        <w:rPr>
          <w:rFonts w:hint="eastAsia"/>
          <w:sz w:val="18"/>
          <w:szCs w:val="18"/>
          <w:lang w:val="en-US" w:eastAsia="zh-CN"/>
        </w:rPr>
        <w:t>&lt; 0.05,</w:t>
      </w:r>
      <w:r>
        <w:rPr>
          <w:rFonts w:hint="eastAsia"/>
          <w:sz w:val="18"/>
          <w:szCs w:val="18"/>
          <w:vertAlign w:val="superscript"/>
          <w:lang w:val="en-US" w:eastAsia="zh-CN"/>
        </w:rPr>
        <w:t>##</w:t>
      </w:r>
      <w:r>
        <w:rPr>
          <w:rFonts w:hint="eastAsia"/>
          <w:i/>
          <w:iCs/>
          <w:sz w:val="18"/>
          <w:szCs w:val="18"/>
          <w:lang w:val="en-US" w:eastAsia="zh-CN"/>
        </w:rPr>
        <w:t xml:space="preserve">P </w:t>
      </w:r>
      <w:r>
        <w:rPr>
          <w:rFonts w:hint="eastAsia"/>
          <w:sz w:val="18"/>
          <w:szCs w:val="18"/>
          <w:lang w:val="en-US" w:eastAsia="zh-CN"/>
        </w:rPr>
        <w:t>&lt; 0.01;与模型组对比，*</w:t>
      </w:r>
      <w:r>
        <w:rPr>
          <w:rFonts w:hint="eastAsia"/>
          <w:i/>
          <w:iCs/>
          <w:sz w:val="18"/>
          <w:szCs w:val="18"/>
          <w:lang w:val="en-US" w:eastAsia="zh-CN"/>
        </w:rPr>
        <w:t xml:space="preserve">P </w:t>
      </w:r>
      <w:r>
        <w:rPr>
          <w:rFonts w:hint="eastAsia"/>
          <w:sz w:val="18"/>
          <w:szCs w:val="18"/>
          <w:lang w:val="en-US" w:eastAsia="zh-CN"/>
        </w:rPr>
        <w:t>&lt; 0.05,**</w:t>
      </w:r>
      <w:r>
        <w:rPr>
          <w:rFonts w:hint="eastAsia"/>
          <w:i/>
          <w:iCs/>
          <w:sz w:val="18"/>
          <w:szCs w:val="18"/>
          <w:lang w:val="en-US" w:eastAsia="zh-CN"/>
        </w:rPr>
        <w:t xml:space="preserve">P </w:t>
      </w:r>
      <w:r>
        <w:rPr>
          <w:rFonts w:hint="eastAsia"/>
          <w:sz w:val="18"/>
          <w:szCs w:val="18"/>
          <w:lang w:val="en-US" w:eastAsia="zh-CN"/>
        </w:rPr>
        <w:t>&lt; 0.01</w:t>
      </w:r>
    </w:p>
    <w:p>
      <w:pPr>
        <w:pStyle w:val="3"/>
        <w:numPr>
          <w:ilvl w:val="1"/>
          <w:numId w:val="2"/>
        </w:numPr>
      </w:pPr>
      <w:bookmarkStart w:id="145" w:name="_Toc6499"/>
      <w:r>
        <w:rPr>
          <w:rFonts w:hint="eastAsia"/>
        </w:rPr>
        <w:t xml:space="preserve"> </w:t>
      </w:r>
      <w:bookmarkStart w:id="146" w:name="_Toc164609482"/>
      <w:bookmarkStart w:id="147" w:name="_Toc7303"/>
      <w:r>
        <w:rPr>
          <w:rFonts w:hint="eastAsia" w:ascii="Times New Roman" w:hAnsi="Times New Roman" w:cs="Times New Roman"/>
        </w:rPr>
        <w:t>SCL</w:t>
      </w:r>
      <w:r>
        <w:rPr>
          <w:rFonts w:hint="eastAsia"/>
        </w:rPr>
        <w:t>对</w:t>
      </w:r>
      <w:r>
        <w:rPr>
          <w:rFonts w:hint="default" w:ascii="Times New Roman" w:hAnsi="Times New Roman" w:cs="Times New Roman"/>
        </w:rPr>
        <w:t>TGF-β1</w:t>
      </w:r>
      <w:r>
        <w:rPr>
          <w:rFonts w:hint="eastAsia"/>
        </w:rPr>
        <w:t>诱导的</w:t>
      </w:r>
      <w:r>
        <w:rPr>
          <w:rFonts w:hint="eastAsia" w:ascii="Times New Roman" w:hAnsi="Times New Roman" w:cs="Times New Roman"/>
        </w:rPr>
        <w:t>LX-2</w:t>
      </w:r>
      <w:r>
        <w:rPr>
          <w:rFonts w:hint="eastAsia"/>
        </w:rPr>
        <w:t>细胞活化的影响</w:t>
      </w:r>
      <w:bookmarkEnd w:id="145"/>
      <w:bookmarkEnd w:id="146"/>
      <w:bookmarkEnd w:id="147"/>
    </w:p>
    <w:p>
      <w:pPr>
        <w:ind w:firstLine="420" w:firstLineChars="0"/>
      </w:pPr>
      <w:r>
        <w:rPr>
          <w:rFonts w:hint="eastAsia"/>
          <w:shd w:val="clear" w:color="auto" w:fill="FFFFFF"/>
          <w:lang w:bidi="ar"/>
        </w:rPr>
        <w:t>通过免疫荧光染色直观呈现</w:t>
      </w:r>
      <w:r>
        <w:rPr>
          <w:shd w:val="clear" w:color="auto" w:fill="FFFFFF"/>
          <w:lang w:bidi="ar"/>
        </w:rPr>
        <w:t>α-SMA</w:t>
      </w:r>
      <w:r>
        <w:rPr>
          <w:rFonts w:hint="eastAsia"/>
          <w:lang w:bidi="ar"/>
        </w:rPr>
        <w:t>和</w:t>
      </w:r>
      <w:r>
        <w:rPr>
          <w:shd w:val="clear" w:color="auto" w:fill="FFFFFF"/>
          <w:lang w:bidi="ar"/>
        </w:rPr>
        <w:t xml:space="preserve">Collagen Ⅰ </w:t>
      </w:r>
      <w:r>
        <w:rPr>
          <w:rFonts w:hint="eastAsia"/>
          <w:shd w:val="clear" w:color="auto" w:fill="FFFFFF"/>
          <w:lang w:bidi="ar"/>
        </w:rPr>
        <w:t>两种</w:t>
      </w:r>
      <w:r>
        <w:rPr>
          <w:rFonts w:hint="eastAsia"/>
          <w:shd w:val="clear" w:color="auto" w:fill="FFFFFF"/>
          <w:lang w:eastAsia="zh-CN" w:bidi="ar"/>
        </w:rPr>
        <w:t>纤维化标志</w:t>
      </w:r>
      <w:r>
        <w:rPr>
          <w:rFonts w:hint="eastAsia"/>
          <w:shd w:val="clear" w:color="auto" w:fill="FFFFFF"/>
          <w:lang w:bidi="ar"/>
        </w:rPr>
        <w:t>蛋白</w:t>
      </w:r>
      <w:r>
        <w:rPr>
          <w:rFonts w:hint="eastAsia"/>
          <w:lang w:bidi="ar"/>
        </w:rPr>
        <w:t>在细胞内的表达强度</w:t>
      </w:r>
      <w:r>
        <w:rPr>
          <w:rFonts w:hint="eastAsia"/>
          <w:lang w:eastAsia="zh-CN" w:bidi="ar"/>
        </w:rPr>
        <w:t>。</w:t>
      </w:r>
      <w:r>
        <w:rPr>
          <w:rFonts w:hint="eastAsia"/>
        </w:rPr>
        <w:t>实验结果</w:t>
      </w:r>
      <w:r>
        <w:rPr>
          <w:rFonts w:hint="eastAsia"/>
          <w:lang w:eastAsia="zh-CN"/>
        </w:rPr>
        <w:t>如图4</w:t>
      </w:r>
      <w:r>
        <w:rPr>
          <w:rFonts w:hint="eastAsia"/>
        </w:rPr>
        <w:t>显示，在</w:t>
      </w:r>
      <w:r>
        <w:t>TGF-β1</w:t>
      </w:r>
      <w:r>
        <w:rPr>
          <w:rFonts w:hint="eastAsia"/>
        </w:rPr>
        <w:t>诱导的</w:t>
      </w:r>
      <w:r>
        <w:t>LX-2</w:t>
      </w:r>
      <w:r>
        <w:rPr>
          <w:rFonts w:hint="eastAsia"/>
        </w:rPr>
        <w:t>细胞活化的模型中，纤维化标志蛋白</w:t>
      </w:r>
      <w:r>
        <w:rPr>
          <w:shd w:val="clear" w:color="auto" w:fill="FFFFFF"/>
          <w:lang w:bidi="ar"/>
        </w:rPr>
        <w:t>α-SMA</w:t>
      </w:r>
      <w:r>
        <w:rPr>
          <w:rFonts w:hint="eastAsia"/>
        </w:rPr>
        <w:t>和</w:t>
      </w:r>
      <w:r>
        <w:rPr>
          <w:shd w:val="clear" w:color="auto" w:fill="FFFFFF"/>
          <w:lang w:bidi="ar"/>
        </w:rPr>
        <w:t xml:space="preserve">Collagen Ⅰ </w:t>
      </w:r>
      <w:r>
        <w:rPr>
          <w:rFonts w:hint="eastAsia"/>
        </w:rPr>
        <w:t>的表达显著增加，而给与</w:t>
      </w:r>
      <w:r>
        <w:t>SCL</w:t>
      </w:r>
      <w:r>
        <w:rPr>
          <w:rFonts w:hint="eastAsia"/>
        </w:rPr>
        <w:t>后，这两种蛋白的表达量明显减少。结果表明，</w:t>
      </w:r>
      <w:r>
        <w:t>SCL</w:t>
      </w:r>
      <w:r>
        <w:rPr>
          <w:rFonts w:hint="eastAsia"/>
        </w:rPr>
        <w:t>能够有效抑制由</w:t>
      </w:r>
      <w:r>
        <w:t>TGF-β1</w:t>
      </w:r>
      <w:r>
        <w:rPr>
          <w:rFonts w:hint="eastAsia"/>
        </w:rPr>
        <w:t>诱导的L</w:t>
      </w:r>
      <w:r>
        <w:t>X-2</w:t>
      </w:r>
      <w:r>
        <w:rPr>
          <w:rFonts w:hint="eastAsia"/>
        </w:rPr>
        <w:t>细胞中纤维化标志蛋白的表达。</w:t>
      </w:r>
    </w:p>
    <w:p>
      <w:pPr>
        <w:jc w:val="center"/>
      </w:pPr>
      <w:r>
        <w:drawing>
          <wp:inline distT="0" distB="0" distL="0" distR="0">
            <wp:extent cx="4053205" cy="2085975"/>
            <wp:effectExtent l="0" t="0" r="4445" b="9525"/>
            <wp:docPr id="5179850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85056" name="图片 2"/>
                    <pic:cNvPicPr>
                      <a:picLocks noChangeAspect="1"/>
                    </pic:cNvPicPr>
                  </pic:nvPicPr>
                  <pic:blipFill>
                    <a:blip r:embed="rId14" cstate="print">
                      <a:extLst>
                        <a:ext uri="{28A0092B-C50C-407E-A947-70E740481C1C}">
                          <a14:useLocalDpi xmlns:a14="http://schemas.microsoft.com/office/drawing/2010/main" val="0"/>
                        </a:ext>
                      </a:extLst>
                    </a:blip>
                    <a:srcRect l="20226" t="10156" r="30484" b="71911"/>
                    <a:stretch>
                      <a:fillRect/>
                    </a:stretch>
                  </pic:blipFill>
                  <pic:spPr>
                    <a:xfrm>
                      <a:off x="0" y="0"/>
                      <a:ext cx="4053205" cy="2085975"/>
                    </a:xfrm>
                    <a:prstGeom prst="rect">
                      <a:avLst/>
                    </a:prstGeom>
                    <a:ln>
                      <a:noFill/>
                    </a:ln>
                  </pic:spPr>
                </pic:pic>
              </a:graphicData>
            </a:graphic>
          </wp:inline>
        </w:drawing>
      </w:r>
    </w:p>
    <w:p>
      <w:pPr>
        <w:ind w:firstLine="420" w:firstLineChars="0"/>
        <w:jc w:val="center"/>
        <w:rPr>
          <w:rFonts w:hint="eastAsia"/>
          <w:sz w:val="18"/>
          <w:szCs w:val="18"/>
        </w:rPr>
      </w:pPr>
      <w:r>
        <w:rPr>
          <w:rFonts w:hint="eastAsia"/>
          <w:sz w:val="18"/>
          <w:szCs w:val="18"/>
        </w:rPr>
        <w:t>图4 SCL对</w:t>
      </w:r>
      <w:r>
        <w:rPr>
          <w:rFonts w:hint="default" w:ascii="Times New Roman" w:hAnsi="Times New Roman" w:cs="Times New Roman"/>
          <w:sz w:val="18"/>
          <w:szCs w:val="18"/>
        </w:rPr>
        <w:t>TGF-β1</w:t>
      </w:r>
      <w:r>
        <w:rPr>
          <w:rFonts w:hint="eastAsia"/>
          <w:sz w:val="18"/>
          <w:szCs w:val="18"/>
        </w:rPr>
        <w:t>诱导LX-2细胞标志蛋白激活及表达的影响（40×）</w:t>
      </w:r>
    </w:p>
    <w:p>
      <w:pPr>
        <w:ind w:firstLine="420" w:firstLineChars="0"/>
        <w:jc w:val="center"/>
        <w:rPr>
          <w:rFonts w:hint="eastAsia"/>
          <w:sz w:val="18"/>
          <w:szCs w:val="18"/>
        </w:rPr>
      </w:pPr>
      <w:r>
        <w:rPr>
          <w:rFonts w:hint="eastAsia"/>
          <w:sz w:val="18"/>
          <w:szCs w:val="18"/>
          <w:lang w:val="en-US" w:eastAsia="zh-CN"/>
        </w:rPr>
        <w:t>注：与空白组对比，</w:t>
      </w:r>
      <w:r>
        <w:rPr>
          <w:rFonts w:hint="eastAsia"/>
          <w:sz w:val="18"/>
          <w:szCs w:val="18"/>
          <w:vertAlign w:val="superscript"/>
          <w:lang w:val="en-US" w:eastAsia="zh-CN"/>
        </w:rPr>
        <w:t>#</w:t>
      </w:r>
      <w:r>
        <w:rPr>
          <w:rFonts w:hint="eastAsia"/>
          <w:i/>
          <w:iCs/>
          <w:sz w:val="18"/>
          <w:szCs w:val="18"/>
          <w:lang w:val="en-US" w:eastAsia="zh-CN"/>
        </w:rPr>
        <w:t xml:space="preserve">P </w:t>
      </w:r>
      <w:r>
        <w:rPr>
          <w:rFonts w:hint="eastAsia"/>
          <w:sz w:val="18"/>
          <w:szCs w:val="18"/>
          <w:lang w:val="en-US" w:eastAsia="zh-CN"/>
        </w:rPr>
        <w:t>&lt; 0.05,</w:t>
      </w:r>
      <w:r>
        <w:rPr>
          <w:rFonts w:hint="eastAsia"/>
          <w:sz w:val="18"/>
          <w:szCs w:val="18"/>
          <w:vertAlign w:val="superscript"/>
          <w:lang w:val="en-US" w:eastAsia="zh-CN"/>
        </w:rPr>
        <w:t>##</w:t>
      </w:r>
      <w:r>
        <w:rPr>
          <w:rFonts w:hint="eastAsia"/>
          <w:i/>
          <w:iCs/>
          <w:sz w:val="18"/>
          <w:szCs w:val="18"/>
          <w:lang w:val="en-US" w:eastAsia="zh-CN"/>
        </w:rPr>
        <w:t xml:space="preserve">P </w:t>
      </w:r>
      <w:r>
        <w:rPr>
          <w:rFonts w:hint="eastAsia"/>
          <w:sz w:val="18"/>
          <w:szCs w:val="18"/>
          <w:lang w:val="en-US" w:eastAsia="zh-CN"/>
        </w:rPr>
        <w:t>&lt; 0.01;与模型组对比，*</w:t>
      </w:r>
      <w:r>
        <w:rPr>
          <w:rFonts w:hint="eastAsia"/>
          <w:i/>
          <w:iCs/>
          <w:sz w:val="18"/>
          <w:szCs w:val="18"/>
          <w:lang w:val="en-US" w:eastAsia="zh-CN"/>
        </w:rPr>
        <w:t xml:space="preserve">P </w:t>
      </w:r>
      <w:r>
        <w:rPr>
          <w:rFonts w:hint="eastAsia"/>
          <w:sz w:val="18"/>
          <w:szCs w:val="18"/>
          <w:lang w:val="en-US" w:eastAsia="zh-CN"/>
        </w:rPr>
        <w:t>&lt; 0.05,**</w:t>
      </w:r>
      <w:r>
        <w:rPr>
          <w:rFonts w:hint="eastAsia"/>
          <w:i/>
          <w:iCs/>
          <w:sz w:val="18"/>
          <w:szCs w:val="18"/>
          <w:lang w:val="en-US" w:eastAsia="zh-CN"/>
        </w:rPr>
        <w:t xml:space="preserve">P </w:t>
      </w:r>
      <w:r>
        <w:rPr>
          <w:rFonts w:hint="eastAsia"/>
          <w:sz w:val="18"/>
          <w:szCs w:val="18"/>
          <w:lang w:val="en-US" w:eastAsia="zh-CN"/>
        </w:rPr>
        <w:t>&lt; 0.01</w:t>
      </w:r>
    </w:p>
    <w:p>
      <w:pPr>
        <w:pStyle w:val="3"/>
        <w:numPr>
          <w:ilvl w:val="1"/>
          <w:numId w:val="2"/>
        </w:numPr>
      </w:pPr>
      <w:bookmarkStart w:id="148" w:name="_Toc24495"/>
      <w:r>
        <w:rPr>
          <w:rFonts w:hint="eastAsia"/>
        </w:rPr>
        <w:t xml:space="preserve"> </w:t>
      </w:r>
      <w:bookmarkStart w:id="149" w:name="_Toc164609483"/>
      <w:bookmarkStart w:id="150" w:name="_Toc17654"/>
      <w:r>
        <w:rPr>
          <w:rFonts w:ascii="Times New Roman" w:hAnsi="Times New Roman" w:cs="Times New Roman"/>
        </w:rPr>
        <w:t>SCL</w:t>
      </w:r>
      <w:r>
        <w:rPr>
          <w:rFonts w:hint="eastAsia"/>
        </w:rPr>
        <w:t>对</w:t>
      </w:r>
      <w:r>
        <w:rPr>
          <w:rFonts w:ascii="Times New Roman" w:hAnsi="Times New Roman" w:cs="Times New Roman"/>
        </w:rPr>
        <w:t>LX-2</w:t>
      </w:r>
      <w:r>
        <w:rPr>
          <w:rFonts w:hint="eastAsia"/>
        </w:rPr>
        <w:t>细胞中的</w:t>
      </w:r>
      <w:r>
        <w:rPr>
          <w:rFonts w:ascii="Times New Roman" w:hAnsi="Times New Roman" w:cs="Times New Roman"/>
        </w:rPr>
        <w:t>Smad</w:t>
      </w:r>
      <w:r>
        <w:rPr>
          <w:rFonts w:hint="eastAsia"/>
        </w:rPr>
        <w:t>通路的影响</w:t>
      </w:r>
      <w:bookmarkEnd w:id="148"/>
      <w:bookmarkEnd w:id="149"/>
      <w:bookmarkEnd w:id="150"/>
    </w:p>
    <w:p>
      <w:pPr>
        <w:ind w:firstLine="420" w:firstLineChars="0"/>
      </w:pPr>
      <w:r>
        <w:rPr>
          <w:rFonts w:hint="eastAsia"/>
        </w:rPr>
        <w:t xml:space="preserve">在LX-2细胞中， </w:t>
      </w:r>
      <w:r>
        <w:t>TGF-β1</w:t>
      </w:r>
      <w:r>
        <w:rPr>
          <w:rFonts w:hint="eastAsia"/>
        </w:rPr>
        <w:t>能够显著增强Smad2和Smad3的磷酸化水平（</w:t>
      </w:r>
      <w:r>
        <w:rPr>
          <w:i/>
        </w:rPr>
        <w:t>P</w:t>
      </w:r>
      <w:r>
        <w:t xml:space="preserve"> </w:t>
      </w:r>
      <w:r>
        <w:rPr>
          <w:rFonts w:hint="eastAsia"/>
        </w:rPr>
        <w:t>&lt; 0.01），并同时降低了负调控因子Smad7的表达（</w:t>
      </w:r>
      <w:r>
        <w:rPr>
          <w:i/>
        </w:rPr>
        <w:t xml:space="preserve">P </w:t>
      </w:r>
      <w:r>
        <w:rPr>
          <w:rFonts w:hint="eastAsia"/>
        </w:rPr>
        <w:t>&lt;</w:t>
      </w:r>
      <w:r>
        <w:t xml:space="preserve"> </w:t>
      </w:r>
      <w:r>
        <w:rPr>
          <w:rFonts w:hint="eastAsia"/>
        </w:rPr>
        <w:t>0.05）。然而，当给与SCL后， Smad2和Smad3的磷酸化被有效抑制，同时上调Smad7的表达。这些结果共同表明，SCL可能通过调控</w:t>
      </w:r>
      <w:r>
        <w:t>TGF-β1</w:t>
      </w:r>
      <w:r>
        <w:rPr>
          <w:rFonts w:hint="eastAsia"/>
        </w:rPr>
        <w:t>/Smad信号通路中相关蛋白的表达和活性，从而抑制LX-2细胞的活化。</w:t>
      </w:r>
    </w:p>
    <w:p>
      <w:pPr>
        <w:jc w:val="center"/>
      </w:pPr>
      <w:r>
        <w:drawing>
          <wp:inline distT="0" distB="0" distL="0" distR="0">
            <wp:extent cx="4053205" cy="1655445"/>
            <wp:effectExtent l="0" t="0" r="4445" b="1905"/>
            <wp:docPr id="597277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77835" name="图片 1"/>
                    <pic:cNvPicPr>
                      <a:picLocks noChangeAspect="1"/>
                    </pic:cNvPicPr>
                  </pic:nvPicPr>
                  <pic:blipFill>
                    <a:blip r:embed="rId15" cstate="print">
                      <a:extLst>
                        <a:ext uri="{28A0092B-C50C-407E-A947-70E740481C1C}">
                          <a14:useLocalDpi xmlns:a14="http://schemas.microsoft.com/office/drawing/2010/main" val="0"/>
                        </a:ext>
                      </a:extLst>
                    </a:blip>
                    <a:srcRect l="9632" t="13142" r="12545" b="64388"/>
                    <a:stretch>
                      <a:fillRect/>
                    </a:stretch>
                  </pic:blipFill>
                  <pic:spPr>
                    <a:xfrm>
                      <a:off x="0" y="0"/>
                      <a:ext cx="4053205" cy="1655445"/>
                    </a:xfrm>
                    <a:prstGeom prst="rect">
                      <a:avLst/>
                    </a:prstGeom>
                    <a:ln>
                      <a:noFill/>
                    </a:ln>
                  </pic:spPr>
                </pic:pic>
              </a:graphicData>
            </a:graphic>
          </wp:inline>
        </w:drawing>
      </w:r>
    </w:p>
    <w:p>
      <w:pPr>
        <w:ind w:firstLine="420" w:firstLineChars="0"/>
        <w:jc w:val="center"/>
        <w:rPr>
          <w:rFonts w:hint="eastAsia"/>
          <w:sz w:val="18"/>
          <w:szCs w:val="18"/>
        </w:rPr>
      </w:pPr>
      <w:r>
        <w:rPr>
          <w:rFonts w:hint="eastAsia"/>
          <w:sz w:val="18"/>
          <w:szCs w:val="18"/>
        </w:rPr>
        <w:t>图5 SCL对LX-2细胞中</w:t>
      </w:r>
      <w:r>
        <w:rPr>
          <w:rFonts w:hint="default" w:ascii="Times New Roman" w:hAnsi="Times New Roman" w:cs="Times New Roman"/>
          <w:sz w:val="18"/>
          <w:szCs w:val="18"/>
        </w:rPr>
        <w:t>TGF-β1/Smad</w:t>
      </w:r>
      <w:r>
        <w:rPr>
          <w:rFonts w:hint="eastAsia"/>
          <w:sz w:val="18"/>
          <w:szCs w:val="18"/>
        </w:rPr>
        <w:t>通路的影响（n=3）</w:t>
      </w:r>
    </w:p>
    <w:p>
      <w:pPr>
        <w:ind w:firstLine="420" w:firstLineChars="0"/>
        <w:jc w:val="center"/>
        <w:rPr>
          <w:rFonts w:hint="eastAsia"/>
          <w:sz w:val="18"/>
          <w:szCs w:val="18"/>
        </w:rPr>
      </w:pPr>
      <w:r>
        <w:rPr>
          <w:rFonts w:hint="eastAsia"/>
          <w:sz w:val="18"/>
          <w:szCs w:val="18"/>
          <w:lang w:val="en-US" w:eastAsia="zh-CN"/>
        </w:rPr>
        <w:t>注：与空白组对比，</w:t>
      </w:r>
      <w:r>
        <w:rPr>
          <w:rFonts w:hint="eastAsia"/>
          <w:sz w:val="18"/>
          <w:szCs w:val="18"/>
          <w:vertAlign w:val="superscript"/>
          <w:lang w:val="en-US" w:eastAsia="zh-CN"/>
        </w:rPr>
        <w:t>#</w:t>
      </w:r>
      <w:r>
        <w:rPr>
          <w:rFonts w:hint="eastAsia"/>
          <w:i/>
          <w:iCs/>
          <w:sz w:val="18"/>
          <w:szCs w:val="18"/>
          <w:lang w:val="en-US" w:eastAsia="zh-CN"/>
        </w:rPr>
        <w:t xml:space="preserve">P </w:t>
      </w:r>
      <w:r>
        <w:rPr>
          <w:rFonts w:hint="eastAsia"/>
          <w:sz w:val="18"/>
          <w:szCs w:val="18"/>
          <w:lang w:val="en-US" w:eastAsia="zh-CN"/>
        </w:rPr>
        <w:t>&lt; 0.05,</w:t>
      </w:r>
      <w:r>
        <w:rPr>
          <w:rFonts w:hint="eastAsia"/>
          <w:sz w:val="18"/>
          <w:szCs w:val="18"/>
          <w:vertAlign w:val="superscript"/>
          <w:lang w:val="en-US" w:eastAsia="zh-CN"/>
        </w:rPr>
        <w:t>##</w:t>
      </w:r>
      <w:r>
        <w:rPr>
          <w:rFonts w:hint="eastAsia"/>
          <w:i/>
          <w:iCs/>
          <w:sz w:val="18"/>
          <w:szCs w:val="18"/>
          <w:lang w:val="en-US" w:eastAsia="zh-CN"/>
        </w:rPr>
        <w:t xml:space="preserve">P </w:t>
      </w:r>
      <w:r>
        <w:rPr>
          <w:rFonts w:hint="eastAsia"/>
          <w:sz w:val="18"/>
          <w:szCs w:val="18"/>
          <w:lang w:val="en-US" w:eastAsia="zh-CN"/>
        </w:rPr>
        <w:t>&lt; 0.01;与模型组对比，*</w:t>
      </w:r>
      <w:r>
        <w:rPr>
          <w:rFonts w:hint="eastAsia"/>
          <w:i/>
          <w:iCs/>
          <w:sz w:val="18"/>
          <w:szCs w:val="18"/>
          <w:lang w:val="en-US" w:eastAsia="zh-CN"/>
        </w:rPr>
        <w:t xml:space="preserve">P </w:t>
      </w:r>
      <w:r>
        <w:rPr>
          <w:rFonts w:hint="eastAsia"/>
          <w:sz w:val="18"/>
          <w:szCs w:val="18"/>
          <w:lang w:val="en-US" w:eastAsia="zh-CN"/>
        </w:rPr>
        <w:t>&lt; 0.05,**</w:t>
      </w:r>
      <w:r>
        <w:rPr>
          <w:rFonts w:hint="eastAsia"/>
          <w:i/>
          <w:iCs/>
          <w:sz w:val="18"/>
          <w:szCs w:val="18"/>
          <w:lang w:val="en-US" w:eastAsia="zh-CN"/>
        </w:rPr>
        <w:t xml:space="preserve">P </w:t>
      </w:r>
      <w:r>
        <w:rPr>
          <w:rFonts w:hint="eastAsia"/>
          <w:sz w:val="18"/>
          <w:szCs w:val="18"/>
          <w:lang w:val="en-US" w:eastAsia="zh-CN"/>
        </w:rPr>
        <w:t>&lt; 0.01</w:t>
      </w:r>
    </w:p>
    <w:p>
      <w:pPr>
        <w:pStyle w:val="3"/>
        <w:numPr>
          <w:ilvl w:val="1"/>
          <w:numId w:val="2"/>
        </w:numPr>
      </w:pPr>
      <w:bookmarkStart w:id="151" w:name="_Toc7507"/>
      <w:r>
        <w:rPr>
          <w:rFonts w:hint="eastAsia"/>
        </w:rPr>
        <w:t xml:space="preserve"> </w:t>
      </w:r>
      <w:bookmarkStart w:id="152" w:name="_Toc164609484"/>
      <w:bookmarkStart w:id="153" w:name="_Toc14323"/>
      <w:r>
        <w:rPr>
          <w:rFonts w:hint="eastAsia"/>
        </w:rPr>
        <w:t>讨论</w:t>
      </w:r>
      <w:bookmarkEnd w:id="151"/>
      <w:bookmarkEnd w:id="152"/>
      <w:bookmarkEnd w:id="153"/>
    </w:p>
    <w:p>
      <w:pPr>
        <w:ind w:firstLine="420" w:firstLineChars="0"/>
      </w:pPr>
      <w:r>
        <w:rPr>
          <w:rFonts w:hint="eastAsia"/>
        </w:rPr>
        <w:t>肝纤维化是慢性肝病发展至肝硬化甚至肝功能衰竭的早期阶段</w:t>
      </w:r>
      <w:r>
        <w:rPr>
          <w:vertAlign w:val="superscript"/>
        </w:rPr>
        <w:fldChar w:fldCharType="begin"/>
      </w:r>
      <w:r>
        <w:rPr>
          <w:vertAlign w:val="superscript"/>
        </w:rPr>
        <w:instrText xml:space="preserve"> </w:instrText>
      </w:r>
      <w:r>
        <w:rPr>
          <w:rFonts w:hint="eastAsia"/>
          <w:vertAlign w:val="superscript"/>
        </w:rPr>
        <w:instrText xml:space="preserve">REF _Ref164246247 \r \h</w:instrText>
      </w:r>
      <w:r>
        <w:rPr>
          <w:vertAlign w:val="superscript"/>
        </w:rPr>
        <w:instrText xml:space="preserve">  \* MERGEFORMAT </w:instrText>
      </w:r>
      <w:r>
        <w:rPr>
          <w:vertAlign w:val="superscript"/>
        </w:rPr>
        <w:fldChar w:fldCharType="separate"/>
      </w:r>
      <w:r>
        <w:rPr>
          <w:vertAlign w:val="superscript"/>
        </w:rPr>
        <w:t>[74]</w:t>
      </w:r>
      <w:r>
        <w:rPr>
          <w:vertAlign w:val="superscript"/>
        </w:rPr>
        <w:fldChar w:fldCharType="end"/>
      </w:r>
      <w:r>
        <w:rPr>
          <w:rFonts w:hint="eastAsia"/>
        </w:rPr>
        <w:t>。肝脏遭遇持续的炎症刺激可激活HSCs转型为肌成纤维细胞样细胞，过度分泌ECM，若不加以控制则可能会随着时间的推移发展为肝硬化</w:t>
      </w:r>
      <w:r>
        <w:rPr>
          <w:vertAlign w:val="superscript"/>
        </w:rPr>
        <w:fldChar w:fldCharType="begin"/>
      </w:r>
      <w:r>
        <w:rPr>
          <w:vertAlign w:val="superscript"/>
        </w:rPr>
        <w:instrText xml:space="preserve"> </w:instrText>
      </w:r>
      <w:r>
        <w:rPr>
          <w:rFonts w:hint="eastAsia"/>
          <w:vertAlign w:val="superscript"/>
        </w:rPr>
        <w:instrText xml:space="preserve">REF _Ref164246262 \r \h</w:instrText>
      </w:r>
      <w:r>
        <w:rPr>
          <w:vertAlign w:val="superscript"/>
        </w:rPr>
        <w:instrText xml:space="preserve">  \* MERGEFORMAT </w:instrText>
      </w:r>
      <w:r>
        <w:rPr>
          <w:vertAlign w:val="superscript"/>
        </w:rPr>
        <w:fldChar w:fldCharType="separate"/>
      </w:r>
      <w:r>
        <w:rPr>
          <w:vertAlign w:val="superscript"/>
        </w:rPr>
        <w:t>[75]</w:t>
      </w:r>
      <w:r>
        <w:rPr>
          <w:vertAlign w:val="superscript"/>
        </w:rPr>
        <w:fldChar w:fldCharType="end"/>
      </w:r>
      <w:r>
        <w:rPr>
          <w:rFonts w:hint="eastAsia"/>
        </w:rPr>
        <w:t>。</w:t>
      </w:r>
    </w:p>
    <w:p>
      <w:pPr>
        <w:ind w:firstLine="420" w:firstLineChars="0"/>
      </w:pPr>
      <w:r>
        <w:rPr>
          <w:rFonts w:hint="eastAsia"/>
        </w:rPr>
        <w:t>HSCs的活化与肝纤维化密切相关，活化的HSCs大量增殖、分泌ECM会加剧ECM累积和加速肝纤维化形成</w:t>
      </w:r>
      <w:r>
        <w:rPr>
          <w:vertAlign w:val="superscript"/>
        </w:rPr>
        <w:fldChar w:fldCharType="begin"/>
      </w:r>
      <w:r>
        <w:rPr>
          <w:vertAlign w:val="superscript"/>
        </w:rPr>
        <w:instrText xml:space="preserve"> REF _Ref15128 \r \h  \* MERGEFORMAT </w:instrText>
      </w:r>
      <w:r>
        <w:rPr>
          <w:vertAlign w:val="superscript"/>
        </w:rPr>
        <w:fldChar w:fldCharType="separate"/>
      </w:r>
      <w:r>
        <w:rPr>
          <w:vertAlign w:val="superscript"/>
        </w:rPr>
        <w:t>[76]</w:t>
      </w:r>
      <w:r>
        <w:rPr>
          <w:vertAlign w:val="superscript"/>
        </w:rPr>
        <w:fldChar w:fldCharType="end"/>
      </w:r>
      <w:r>
        <w:rPr>
          <w:rFonts w:hint="eastAsia"/>
        </w:rPr>
        <w:t>。通过靶向抑制HSCs活化，可有效减少ECM的过度沉积，从而缓解肝纤维化</w:t>
      </w:r>
      <w:r>
        <w:rPr>
          <w:vertAlign w:val="superscript"/>
        </w:rPr>
        <w:fldChar w:fldCharType="begin"/>
      </w:r>
      <w:r>
        <w:rPr>
          <w:vertAlign w:val="superscript"/>
        </w:rPr>
        <w:instrText xml:space="preserve"> REF _Ref164363248 \r \h  \* MERGEFORMAT </w:instrText>
      </w:r>
      <w:r>
        <w:rPr>
          <w:vertAlign w:val="superscript"/>
        </w:rPr>
        <w:fldChar w:fldCharType="separate"/>
      </w:r>
      <w:r>
        <w:rPr>
          <w:vertAlign w:val="superscript"/>
        </w:rPr>
        <w:t>[77]</w:t>
      </w:r>
      <w:r>
        <w:rPr>
          <w:vertAlign w:val="superscript"/>
        </w:rPr>
        <w:fldChar w:fldCharType="end"/>
      </w:r>
      <w:r>
        <w:rPr>
          <w:rFonts w:hint="eastAsia"/>
        </w:rPr>
        <w:t>。</w:t>
      </w:r>
    </w:p>
    <w:p>
      <w:pPr>
        <w:ind w:firstLine="420" w:firstLineChars="0"/>
        <w:rPr>
          <w:rFonts w:hint="eastAsia"/>
        </w:rPr>
      </w:pPr>
      <w:r>
        <w:rPr>
          <w:rFonts w:hint="eastAsia"/>
        </w:rPr>
        <w:t>在慢性肝损伤的过程中，HSCs激活及其向肌成纤维细胞样表型的转变</w:t>
      </w:r>
      <w:r>
        <w:rPr>
          <w:rFonts w:hint="eastAsia"/>
          <w:lang w:val="en-US" w:eastAsia="zh-CN"/>
        </w:rPr>
        <w:t>是</w:t>
      </w:r>
      <w:r>
        <w:rPr>
          <w:rFonts w:hint="eastAsia"/>
        </w:rPr>
        <w:t>肝纤维化进程中的关键步骤</w:t>
      </w:r>
      <w:r>
        <w:rPr>
          <w:vertAlign w:val="superscript"/>
        </w:rPr>
        <w:fldChar w:fldCharType="begin"/>
      </w:r>
      <w:r>
        <w:rPr>
          <w:vertAlign w:val="superscript"/>
        </w:rPr>
        <w:instrText xml:space="preserve"> </w:instrText>
      </w:r>
      <w:r>
        <w:rPr>
          <w:rFonts w:hint="eastAsia"/>
          <w:vertAlign w:val="superscript"/>
        </w:rPr>
        <w:instrText xml:space="preserve">REF _Ref164246274 \r \h</w:instrText>
      </w:r>
      <w:r>
        <w:rPr>
          <w:vertAlign w:val="superscript"/>
        </w:rPr>
        <w:instrText xml:space="preserve">  \* MERGEFORMAT </w:instrText>
      </w:r>
      <w:r>
        <w:rPr>
          <w:vertAlign w:val="superscript"/>
        </w:rPr>
        <w:fldChar w:fldCharType="separate"/>
      </w:r>
      <w:r>
        <w:rPr>
          <w:vertAlign w:val="superscript"/>
        </w:rPr>
        <w:t>[78]</w:t>
      </w:r>
      <w:r>
        <w:rPr>
          <w:vertAlign w:val="superscript"/>
        </w:rPr>
        <w:fldChar w:fldCharType="end"/>
      </w:r>
      <w:r>
        <w:rPr>
          <w:rFonts w:hint="eastAsia"/>
        </w:rPr>
        <w:t>。</w:t>
      </w:r>
      <w:r>
        <w:t>TGF-β1</w:t>
      </w:r>
      <w:r>
        <w:rPr>
          <w:rFonts w:hint="eastAsia"/>
        </w:rPr>
        <w:t>作为关键的促纤维化介质，能激发HSCs的活化状态，促进纤维细胞增殖和</w:t>
      </w:r>
      <w:r>
        <w:t>ECM</w:t>
      </w:r>
      <w:r>
        <w:rPr>
          <w:rFonts w:hint="eastAsia"/>
        </w:rPr>
        <w:t>过度沉积，引发组织重构和纤维化。因此，抑制</w:t>
      </w:r>
      <w:r>
        <w:t>TGF-β1</w:t>
      </w:r>
      <w:r>
        <w:rPr>
          <w:rFonts w:hint="eastAsia"/>
        </w:rPr>
        <w:t>及其下游信号传递路径已成为抗肝纤维化治疗策略中不可忽视的一个关键目标，也是抗肝纤维化治疗的重要靶点之一</w:t>
      </w:r>
      <w:r>
        <w:rPr>
          <w:rFonts w:hint="eastAsia"/>
          <w:vertAlign w:val="superscript"/>
          <w:lang w:eastAsia="zh-CN"/>
        </w:rPr>
        <w:fldChar w:fldCharType="begin"/>
      </w:r>
      <w:r>
        <w:rPr>
          <w:rFonts w:hint="eastAsia"/>
          <w:vertAlign w:val="superscript"/>
          <w:lang w:eastAsia="zh-CN"/>
        </w:rPr>
        <w:instrText xml:space="preserve"> REF _Ref23115 \r \h </w:instrText>
      </w:r>
      <w:r>
        <w:rPr>
          <w:rFonts w:hint="eastAsia"/>
          <w:vertAlign w:val="superscript"/>
          <w:lang w:eastAsia="zh-CN"/>
        </w:rPr>
        <w:fldChar w:fldCharType="separate"/>
      </w:r>
      <w:r>
        <w:rPr>
          <w:rFonts w:hint="eastAsia"/>
          <w:vertAlign w:val="superscript"/>
          <w:lang w:eastAsia="zh-CN"/>
        </w:rPr>
        <w:t>[79]</w:t>
      </w:r>
      <w:r>
        <w:rPr>
          <w:rFonts w:hint="eastAsia"/>
          <w:vertAlign w:val="superscript"/>
          <w:lang w:eastAsia="zh-CN"/>
        </w:rPr>
        <w:fldChar w:fldCharType="end"/>
      </w:r>
      <w:r>
        <w:rPr>
          <w:rFonts w:hint="eastAsia"/>
        </w:rPr>
        <w:t>。</w:t>
      </w:r>
    </w:p>
    <w:p>
      <w:pPr>
        <w:ind w:firstLine="420" w:firstLineChars="0"/>
        <w:rPr>
          <w:rFonts w:hint="eastAsia"/>
        </w:rPr>
      </w:pPr>
      <w:r>
        <w:rPr>
          <w:rFonts w:hint="eastAsia"/>
        </w:rPr>
        <w:t>当前研究已证实SCL具有抗炎、抗菌、抗癌及抗氧化等多种药理作用，展现出其在多种疾病治疗中的应用潜力</w:t>
      </w:r>
      <w:r>
        <w:rPr>
          <w:rFonts w:hint="eastAsia"/>
          <w:vertAlign w:val="superscript"/>
          <w:lang w:eastAsia="zh-CN"/>
        </w:rPr>
        <w:fldChar w:fldCharType="begin"/>
      </w:r>
      <w:r>
        <w:rPr>
          <w:rFonts w:hint="eastAsia"/>
          <w:vertAlign w:val="superscript"/>
          <w:lang w:eastAsia="zh-CN"/>
        </w:rPr>
        <w:instrText xml:space="preserve"> REF _Ref18777 \r \h </w:instrText>
      </w:r>
      <w:r>
        <w:rPr>
          <w:rFonts w:hint="eastAsia"/>
          <w:vertAlign w:val="superscript"/>
          <w:lang w:eastAsia="zh-CN"/>
        </w:rPr>
        <w:fldChar w:fldCharType="separate"/>
      </w:r>
      <w:r>
        <w:rPr>
          <w:rFonts w:hint="eastAsia"/>
          <w:vertAlign w:val="superscript"/>
          <w:lang w:eastAsia="zh-CN"/>
        </w:rPr>
        <w:t>[80]</w:t>
      </w:r>
      <w:r>
        <w:rPr>
          <w:rFonts w:hint="eastAsia"/>
          <w:vertAlign w:val="superscript"/>
          <w:lang w:eastAsia="zh-CN"/>
        </w:rPr>
        <w:fldChar w:fldCharType="end"/>
      </w:r>
      <w:r>
        <w:rPr>
          <w:rFonts w:hint="eastAsia"/>
        </w:rPr>
        <w:t>。</w:t>
      </w:r>
      <w:r>
        <w:rPr>
          <w:rFonts w:hint="eastAsia"/>
          <w:lang w:val="en-US" w:eastAsia="zh-CN"/>
        </w:rPr>
        <w:t>同时，SCL</w:t>
      </w:r>
      <w:r>
        <w:rPr>
          <w:rFonts w:hint="eastAsia"/>
        </w:rPr>
        <w:t>在抗肝纤维化方面的潜力已得到初步证实，但其对</w:t>
      </w:r>
      <w:r>
        <w:t>TGF-β1</w:t>
      </w:r>
      <w:r>
        <w:rPr>
          <w:rFonts w:hint="eastAsia"/>
        </w:rPr>
        <w:t>诱导LX-2细胞活化的影响及通过何种机制抑制肝纤维化的具体机制尚有待深入挖掘</w:t>
      </w:r>
      <w:r>
        <w:rPr>
          <w:rFonts w:hint="eastAsia"/>
          <w:lang w:eastAsia="zh-CN"/>
        </w:rPr>
        <w:t>。</w:t>
      </w:r>
      <w:r>
        <w:rPr>
          <w:rFonts w:hint="eastAsia"/>
        </w:rPr>
        <w:t>本课题旨在系统性地揭示</w:t>
      </w:r>
      <w:r>
        <w:rPr>
          <w:rFonts w:hint="eastAsia"/>
          <w:lang w:val="en-US" w:eastAsia="zh-CN"/>
        </w:rPr>
        <w:t>SCL</w:t>
      </w:r>
      <w:r>
        <w:rPr>
          <w:rFonts w:hint="eastAsia"/>
        </w:rPr>
        <w:t>在</w:t>
      </w:r>
      <w:r>
        <w:rPr>
          <w:rFonts w:hint="default" w:ascii="Times New Roman" w:hAnsi="Times New Roman" w:cs="Times New Roman"/>
        </w:rPr>
        <w:t>TGF-β1</w:t>
      </w:r>
      <w:r>
        <w:rPr>
          <w:rFonts w:hint="eastAsia"/>
        </w:rPr>
        <w:t>诱导的LX-2细胞活化过程中的作用靶点、分子机制和相关信号通路</w:t>
      </w:r>
      <w:r>
        <w:rPr>
          <w:rFonts w:hint="eastAsia"/>
          <w:lang w:eastAsia="zh-CN"/>
        </w:rPr>
        <w:t>，</w:t>
      </w:r>
      <w:r>
        <w:rPr>
          <w:rFonts w:hint="eastAsia"/>
          <w:lang w:val="en-US" w:eastAsia="zh-CN"/>
        </w:rPr>
        <w:t>也</w:t>
      </w:r>
      <w:r>
        <w:rPr>
          <w:rFonts w:hint="eastAsia"/>
        </w:rPr>
        <w:t>为基于</w:t>
      </w:r>
      <w:r>
        <w:rPr>
          <w:rFonts w:hint="eastAsia"/>
          <w:lang w:val="en-US" w:eastAsia="zh-CN"/>
        </w:rPr>
        <w:t>SCL</w:t>
      </w:r>
      <w:r>
        <w:rPr>
          <w:rFonts w:hint="eastAsia"/>
        </w:rPr>
        <w:t>的新型抗肝纤维化疗法的研发提供坚实的理论依据。</w:t>
      </w:r>
    </w:p>
    <w:p>
      <w:pPr>
        <w:ind w:firstLine="420" w:firstLineChars="0"/>
      </w:pPr>
      <w:r>
        <w:rPr>
          <w:rFonts w:hint="eastAsia"/>
        </w:rPr>
        <w:t>采用Transwell细胞迁移实验和EdU细胞增殖实验来评估LX-2细胞的迁移和增殖能力，实验结果显示，在</w:t>
      </w:r>
      <w:r>
        <w:t>TGF-β1</w:t>
      </w:r>
      <w:r>
        <w:rPr>
          <w:rFonts w:hint="eastAsia"/>
        </w:rPr>
        <w:t>的影响下，LX-2细胞的迁移和增殖活动明显提升，反映出</w:t>
      </w:r>
      <w:r>
        <w:t>TGF-β1</w:t>
      </w:r>
      <w:r>
        <w:rPr>
          <w:rFonts w:hint="eastAsia"/>
        </w:rPr>
        <w:t>对HSCs活化具有强烈的促进作用。当给予SCL后，LX-2细胞的迁移和增殖能力显著减弱，表明SCL可能具有抑制HSCs活化的作用。为进一步确认SCL对HSCs活化的影响，通过免疫荧光法检测模型组与给药组细胞中纤维化标志物</w:t>
      </w:r>
      <w:r>
        <w:t>α-SMA</w:t>
      </w:r>
      <w:r>
        <w:rPr>
          <w:rFonts w:hint="eastAsia"/>
        </w:rPr>
        <w:t>和</w:t>
      </w:r>
      <w:r>
        <w:t>CollagenⅠ</w:t>
      </w:r>
      <w:r>
        <w:rPr>
          <w:rFonts w:hint="eastAsia"/>
        </w:rPr>
        <w:t>的表达水平。结果显示，与模型组对比，给予SCL能明显降低</w:t>
      </w:r>
      <w:r>
        <w:t>α-SMA</w:t>
      </w:r>
      <w:r>
        <w:rPr>
          <w:rFonts w:hint="eastAsia"/>
        </w:rPr>
        <w:t>和</w:t>
      </w:r>
      <w:r>
        <w:t>CollengeⅠ</w:t>
      </w:r>
      <w:r>
        <w:rPr>
          <w:rFonts w:hint="eastAsia"/>
        </w:rPr>
        <w:t>的表达水平，说明SCL能有效抑制这两种纤维化关键蛋白的表达，证明其能有效抑制HSCs的活化。机制通路方面，Western Blot结果显示，模型组smad7表达显著下调，smad2及smad3的磷酸化水平显著升高，给予SCL后，smad通路相关蛋白的磷酸化表达均受到明显抑制，smad7蛋白表达水平上调，表明SCL可能通过调节</w:t>
      </w:r>
      <w:r>
        <w:t>TGF-β1</w:t>
      </w:r>
      <w:r>
        <w:rPr>
          <w:rFonts w:hint="eastAsia"/>
        </w:rPr>
        <w:t>/Smad信号通路来抑制HSCs的活化。</w:t>
      </w:r>
    </w:p>
    <w:p>
      <w:pPr>
        <w:ind w:firstLine="420" w:firstLineChars="0"/>
      </w:pPr>
      <w:r>
        <w:rPr>
          <w:rFonts w:hint="eastAsia"/>
        </w:rPr>
        <w:t>综上所述，实验数据一致证明SCL在体外实验中能够有效地抑制</w:t>
      </w:r>
      <w:r>
        <w:t>TGF-β1</w:t>
      </w:r>
      <w:r>
        <w:rPr>
          <w:rFonts w:hint="eastAsia"/>
        </w:rPr>
        <w:t>诱导的LX-2细胞活化，并且可能是通过调控</w:t>
      </w:r>
      <w:r>
        <w:t>TGF-β1</w:t>
      </w:r>
      <w:r>
        <w:rPr>
          <w:rFonts w:hint="eastAsia"/>
        </w:rPr>
        <w:t>/Smad信号通路实现的。</w:t>
      </w:r>
    </w:p>
    <w:p/>
    <w:p>
      <w:pPr>
        <w:pStyle w:val="2"/>
        <w:widowControl w:val="0"/>
        <w:spacing w:before="156" w:beforeLines="50" w:after="156" w:afterLines="50"/>
        <w:jc w:val="center"/>
        <w:rPr>
          <w:rFonts w:hint="eastAsia"/>
          <w:bCs w:val="0"/>
          <w:szCs w:val="28"/>
        </w:rPr>
      </w:pPr>
      <w:bookmarkStart w:id="154" w:name="_Toc164609485"/>
      <w:bookmarkStart w:id="155" w:name="_Toc26258"/>
      <w:r>
        <w:rPr>
          <w:rFonts w:hint="eastAsia"/>
          <w:bCs w:val="0"/>
          <w:szCs w:val="28"/>
        </w:rPr>
        <w:t>致 谢</w:t>
      </w:r>
      <w:bookmarkEnd w:id="154"/>
      <w:bookmarkEnd w:id="155"/>
    </w:p>
    <w:p/>
    <w:p>
      <w:pPr>
        <w:ind w:firstLine="420" w:firstLineChars="0"/>
      </w:pPr>
      <w:r>
        <w:rPr>
          <w:rFonts w:hint="eastAsia"/>
        </w:rPr>
        <w:t>在本篇论文即将画上句号之时，我怀揣感激之情，诚挚地写下这篇致谢，以此作为契机，向那些在我学术生涯中慷慨付出、助力我前行的人们表达衷心的谢忱，没有他们的帮助，这项工作将不可能顺利完成。</w:t>
      </w:r>
    </w:p>
    <w:p>
      <w:pPr>
        <w:ind w:firstLine="420" w:firstLineChars="0"/>
      </w:pPr>
      <w:r>
        <w:rPr>
          <w:rFonts w:hint="eastAsia"/>
        </w:rPr>
        <w:t>首先,我要衷心地对我的导师,邓旭坤教授,表达深深的谢意</w:t>
      </w:r>
      <w:r>
        <w:rPr>
          <w:rFonts w:hint="eastAsia"/>
          <w:lang w:eastAsia="zh-CN"/>
        </w:rPr>
        <w:t>。</w:t>
      </w:r>
      <w:r>
        <w:rPr>
          <w:rFonts w:hint="eastAsia"/>
        </w:rPr>
        <w:t>您深厚的学术造诣、严谨的治学风格以及对我个人成长的关心，都深深地影响了我。在教学过程中，您严守学术规范，特别是在指导我完成毕业设计的过程中，您对我提出高要标准和严要求，犹如一盏明灯指引着我不断探求真理、改进自我；而在生活中，您一直都是和蔼可亲的，您也营造了一个积极向上的科研氛围和井然有序的工作环境，也由此让我全身心的投入到研究创作中，收获颇丰。在您的悉心栽培下，我不仅在实验技能上得到磨砺，科研思维亦得以拓展，同时，论文写作的专业规范性显著增强，真正实现了从理论到实践、从知识积累到能力跃升的质变。</w:t>
      </w:r>
    </w:p>
    <w:p>
      <w:pPr>
        <w:ind w:firstLine="420" w:firstLineChars="0"/>
      </w:pPr>
      <w:r>
        <w:rPr>
          <w:rFonts w:hint="eastAsia"/>
        </w:rPr>
        <w:t>接下来，我同样要向实验室的各位师兄师姐——张甜甜师姐、雷霄师姐、王绰师兄、宋安宁师姐、宋杨璐师姐、郑志勇师兄、郑珊珊师姐表达我深深的谢意。他们与我分享了他们的专业知识和宝贵经验，并为我提供了各种建议和意见，助力我在最短时间内融入实验室生活并适应严谨的科研节奏。正是他们的陪伴、支持与激励，使我在面对研究挑战时始终保持坚韧，成功渡过了种种难关。</w:t>
      </w:r>
    </w:p>
    <w:p>
      <w:pPr>
        <w:ind w:firstLine="420" w:firstLineChars="0"/>
      </w:pPr>
      <w:r>
        <w:rPr>
          <w:rFonts w:hint="eastAsia"/>
        </w:rPr>
        <w:t>同时，我要衷心感谢我的父母和家人，他们始终是我坚实的后盾，坚定地支持我追寻梦想的步伐。他们无私的爱与无尽的支持，赋予了我在人生道路上永不孤寂的力量，让我能够在追逐学术理想的同时，感受到生活的温馨与甜蜜。</w:t>
      </w:r>
    </w:p>
    <w:p>
      <w:r>
        <w:rPr>
          <w:rFonts w:hint="default"/>
          <w:lang w:val="en-US"/>
        </w:rPr>
        <w:t xml:space="preserve">    </w:t>
      </w:r>
      <w:r>
        <w:rPr>
          <w:rFonts w:hint="eastAsia"/>
        </w:rPr>
        <w:t>此外，我要铭记于心的是我的母校，以及这个充满机遇的学习平台。正是在这里，我接受了全方位且高质量的教育，提升了自身的知识</w:t>
      </w:r>
      <w:r>
        <w:rPr>
          <w:rFonts w:hint="eastAsia"/>
          <w:lang w:val="en-US" w:eastAsia="zh-CN"/>
        </w:rPr>
        <w:t>底蕴</w:t>
      </w:r>
      <w:r>
        <w:rPr>
          <w:rFonts w:hint="eastAsia"/>
        </w:rPr>
        <w:t>和专业</w:t>
      </w:r>
      <w:r>
        <w:rPr>
          <w:rFonts w:hint="eastAsia"/>
          <w:lang w:val="en-US" w:eastAsia="zh-CN"/>
        </w:rPr>
        <w:t>能力</w:t>
      </w:r>
      <w:r>
        <w:rPr>
          <w:rFonts w:hint="eastAsia"/>
        </w:rPr>
        <w:t>，为我</w:t>
      </w:r>
      <w:r>
        <w:rPr>
          <w:rFonts w:hint="eastAsia"/>
          <w:lang w:val="en-US" w:eastAsia="zh-CN"/>
        </w:rPr>
        <w:t>未来开展</w:t>
      </w:r>
      <w:r>
        <w:rPr>
          <w:rFonts w:hint="eastAsia"/>
        </w:rPr>
        <w:t>学术研究</w:t>
      </w:r>
      <w:r>
        <w:rPr>
          <w:rFonts w:hint="eastAsia"/>
          <w:lang w:val="en-US" w:eastAsia="zh-CN"/>
        </w:rPr>
        <w:t>构建</w:t>
      </w:r>
      <w:r>
        <w:rPr>
          <w:rFonts w:hint="eastAsia"/>
        </w:rPr>
        <w:t>了</w:t>
      </w:r>
      <w:r>
        <w:rPr>
          <w:rFonts w:hint="eastAsia"/>
          <w:lang w:val="en-US" w:eastAsia="zh-CN"/>
        </w:rPr>
        <w:t>稳固</w:t>
      </w:r>
      <w:r>
        <w:rPr>
          <w:rFonts w:hint="eastAsia"/>
        </w:rPr>
        <w:t>的基</w:t>
      </w:r>
      <w:r>
        <w:rPr>
          <w:rFonts w:hint="eastAsia"/>
          <w:lang w:val="en-US" w:eastAsia="zh-CN"/>
        </w:rPr>
        <w:t>石</w:t>
      </w:r>
      <w:r>
        <w:rPr>
          <w:rFonts w:hint="eastAsia"/>
        </w:rPr>
        <w:t>。</w:t>
      </w:r>
    </w:p>
    <w:p>
      <w:pPr>
        <w:ind w:firstLine="420" w:firstLineChars="0"/>
        <w:rPr>
          <w:rFonts w:hint="eastAsia"/>
        </w:rPr>
      </w:pPr>
      <w:r>
        <w:rPr>
          <w:rFonts w:hint="eastAsia"/>
        </w:rPr>
        <w:t>最后，我由衷地向参与论文评审的所有评委老师、专家学者以及工作人员致以崇高的敬意和真挚的感谢。在您们忙碌的日程中，仍能拨冗审阅我的论文，提供无比宝贵的见解与指导。您们对我学术成果的关注与肯定，无疑将深化我对自身研究的理解，并进⼀步提升我的学术⽔平。请允许我再次向您们表达衷心的谢意！</w:t>
      </w:r>
    </w:p>
    <w:p>
      <w:pPr>
        <w:ind w:firstLine="420" w:firstLineChars="0"/>
      </w:pPr>
      <w:r>
        <w:rPr>
          <w:rFonts w:hint="eastAsia"/>
        </w:rPr>
        <w:t>再次，向所有曾给予我关爱、支持与指导的人们致以最深沉的感激！</w:t>
      </w:r>
      <w:r>
        <w:br w:type="page"/>
      </w:r>
    </w:p>
    <w:p>
      <w:pPr>
        <w:pStyle w:val="2"/>
        <w:ind w:firstLine="560"/>
        <w:jc w:val="center"/>
      </w:pPr>
      <w:bookmarkStart w:id="156" w:name="_Toc164609486"/>
      <w:bookmarkStart w:id="157" w:name="_Toc8656"/>
      <w:bookmarkStart w:id="158" w:name="_Toc136295719"/>
      <w:bookmarkStart w:id="159" w:name="_Toc5793"/>
      <w:bookmarkStart w:id="160" w:name="_Toc7840"/>
      <w:r>
        <w:rPr>
          <w:rFonts w:hint="eastAsia"/>
        </w:rPr>
        <w:t>参考文献</w:t>
      </w:r>
      <w:bookmarkEnd w:id="156"/>
      <w:bookmarkEnd w:id="157"/>
      <w:bookmarkEnd w:id="158"/>
      <w:bookmarkEnd w:id="159"/>
      <w:bookmarkEnd w:id="160"/>
    </w:p>
    <w:p>
      <w:pPr>
        <w:rPr>
          <w:shd w:val="clear" w:color="auto" w:fill="FFFFFF"/>
        </w:rPr>
      </w:pPr>
      <w:bookmarkStart w:id="161" w:name="_Ref128385722"/>
      <w:bookmarkStart w:id="162" w:name="_Ref128385044"/>
    </w:p>
    <w:bookmarkEnd w:id="161"/>
    <w:p>
      <w:pPr>
        <w:pStyle w:val="23"/>
        <w:bidi w:val="0"/>
      </w:pPr>
      <w:bookmarkStart w:id="163" w:name="_Ref129160665"/>
      <w:bookmarkStart w:id="164" w:name="_Ref161242438"/>
      <w:r>
        <w:rPr>
          <w:rFonts w:hint="eastAsia"/>
        </w:rPr>
        <w:t>麻妙锋,</w:t>
      </w:r>
      <w:r>
        <w:t xml:space="preserve"> </w:t>
      </w:r>
      <w:r>
        <w:rPr>
          <w:rFonts w:hint="eastAsia"/>
        </w:rPr>
        <w:t>白雪,</w:t>
      </w:r>
      <w:r>
        <w:t xml:space="preserve"> </w:t>
      </w:r>
      <w:r>
        <w:rPr>
          <w:rFonts w:hint="eastAsia"/>
        </w:rPr>
        <w:t>周遵军等.</w:t>
      </w:r>
      <w:r>
        <w:t xml:space="preserve"> β</w:t>
      </w:r>
      <w:r>
        <w:rPr>
          <w:rFonts w:hint="eastAsia"/>
        </w:rPr>
        <w:t>-氨基醇类香紫苏醇衍生物的合成及抑菌活性[J].</w:t>
      </w:r>
      <w:r>
        <w:t xml:space="preserve"> </w:t>
      </w:r>
      <w:r>
        <w:rPr>
          <w:rFonts w:hint="eastAsia"/>
        </w:rPr>
        <w:t>农药学学报,</w:t>
      </w:r>
      <w:r>
        <w:t xml:space="preserve"> </w:t>
      </w:r>
      <w:r>
        <w:rPr>
          <w:rFonts w:hint="eastAsia"/>
        </w:rPr>
        <w:t>2023,</w:t>
      </w:r>
      <w:r>
        <w:t xml:space="preserve"> </w:t>
      </w:r>
      <w:r>
        <w:rPr>
          <w:rFonts w:hint="eastAsia"/>
        </w:rPr>
        <w:t>25(03):</w:t>
      </w:r>
      <w:r>
        <w:t xml:space="preserve"> </w:t>
      </w:r>
      <w:r>
        <w:rPr>
          <w:rFonts w:hint="eastAsia"/>
        </w:rPr>
        <w:t>586-594.</w:t>
      </w:r>
      <w:bookmarkEnd w:id="162"/>
      <w:bookmarkEnd w:id="163"/>
      <w:bookmarkEnd w:id="164"/>
    </w:p>
    <w:p>
      <w:pPr>
        <w:pStyle w:val="23"/>
        <w:bidi w:val="0"/>
      </w:pPr>
      <w:bookmarkStart w:id="165" w:name="_Ref163681478"/>
      <w:r>
        <w:rPr>
          <w:rFonts w:hint="eastAsia"/>
        </w:rPr>
        <w:t xml:space="preserve">Crusco A, Whiteland H, Baptista R, </w:t>
      </w:r>
      <w:r>
        <w:t>et al.</w:t>
      </w:r>
      <w:r>
        <w:rPr>
          <w:rFonts w:hint="eastAsia"/>
        </w:rPr>
        <w:t xml:space="preserve"> Antischistosomal Properties of Sclareol and Its Heck-Coupled Derivatives: Design, Synthesis, Biological Evaluation, and Untargeted Metabolomics</w:t>
      </w:r>
      <w:bookmarkStart w:id="166" w:name="OLE_LINK12"/>
      <w:r>
        <w:rPr>
          <w:rFonts w:hint="eastAsia"/>
        </w:rPr>
        <w:t>[J]</w:t>
      </w:r>
      <w:bookmarkEnd w:id="166"/>
      <w:r>
        <w:rPr>
          <w:rFonts w:hint="eastAsia"/>
        </w:rPr>
        <w:t xml:space="preserve">. </w:t>
      </w:r>
      <w:r>
        <w:rPr>
          <w:i/>
          <w:iCs/>
        </w:rPr>
        <w:t>ACS Infect Dis</w:t>
      </w:r>
      <w:r>
        <w:rPr>
          <w:rFonts w:hint="eastAsia"/>
        </w:rPr>
        <w:t xml:space="preserve">. </w:t>
      </w:r>
      <w:r>
        <w:t>2019, 5(7): 1188-1199.</w:t>
      </w:r>
      <w:bookmarkEnd w:id="165"/>
    </w:p>
    <w:p>
      <w:pPr>
        <w:pStyle w:val="23"/>
        <w:bidi w:val="0"/>
      </w:pPr>
      <w:bookmarkStart w:id="167" w:name="_Ref161302618"/>
      <w:r>
        <w:rPr>
          <w:rFonts w:hint="eastAsia"/>
        </w:rPr>
        <w:t xml:space="preserve">Raafat K, Habib J. Phytochemical Compositions and Antidiabetic Potentials of Salvia sclarea L. Essential Oils[J]. </w:t>
      </w:r>
      <w:r>
        <w:rPr>
          <w:rFonts w:hint="eastAsia"/>
          <w:i/>
          <w:iCs/>
        </w:rPr>
        <w:t>J Oleo Sci</w:t>
      </w:r>
      <w:r>
        <w:rPr>
          <w:rFonts w:hint="eastAsia"/>
        </w:rPr>
        <w:t>. 2018</w:t>
      </w:r>
      <w:r>
        <w:rPr>
          <w:rFonts w:hint="eastAsia"/>
          <w:lang w:val="en-US" w:eastAsia="zh-CN"/>
        </w:rPr>
        <w:t xml:space="preserve">, </w:t>
      </w:r>
      <w:r>
        <w:rPr>
          <w:rFonts w:hint="eastAsia"/>
        </w:rPr>
        <w:t>67(8):</w:t>
      </w:r>
      <w:r>
        <w:rPr>
          <w:rFonts w:hint="eastAsia"/>
          <w:lang w:val="en-US" w:eastAsia="zh-CN"/>
        </w:rPr>
        <w:t xml:space="preserve"> </w:t>
      </w:r>
      <w:r>
        <w:rPr>
          <w:rFonts w:hint="eastAsia"/>
        </w:rPr>
        <w:t xml:space="preserve">1015-1025. </w:t>
      </w:r>
      <w:bookmarkEnd w:id="167"/>
    </w:p>
    <w:p>
      <w:pPr>
        <w:pStyle w:val="23"/>
        <w:bidi w:val="0"/>
      </w:pPr>
      <w:bookmarkStart w:id="168" w:name="_Ref161259395"/>
      <w:r>
        <w:rPr>
          <w:rFonts w:hint="eastAsia"/>
        </w:rPr>
        <w:t>白红进,</w:t>
      </w:r>
      <w:r>
        <w:t xml:space="preserve"> </w:t>
      </w:r>
      <w:r>
        <w:rPr>
          <w:rFonts w:hint="eastAsia"/>
        </w:rPr>
        <w:t>吴文君,</w:t>
      </w:r>
      <w:r>
        <w:t xml:space="preserve"> </w:t>
      </w:r>
      <w:r>
        <w:rPr>
          <w:rFonts w:hint="eastAsia"/>
        </w:rPr>
        <w:t>耿会玲等.</w:t>
      </w:r>
      <w:r>
        <w:t xml:space="preserve"> </w:t>
      </w:r>
      <w:r>
        <w:rPr>
          <w:rFonts w:hint="eastAsia"/>
        </w:rPr>
        <w:t>香紫苏醇衍生物的合成及其杀菌活性初步研究[J].</w:t>
      </w:r>
      <w:r>
        <w:t xml:space="preserve"> </w:t>
      </w:r>
      <w:r>
        <w:rPr>
          <w:rFonts w:hint="eastAsia"/>
        </w:rPr>
        <w:t>西北农业学报,</w:t>
      </w:r>
      <w:r>
        <w:t xml:space="preserve"> </w:t>
      </w:r>
      <w:r>
        <w:rPr>
          <w:rFonts w:hint="eastAsia"/>
        </w:rPr>
        <w:t>2005(02):</w:t>
      </w:r>
      <w:r>
        <w:t xml:space="preserve"> </w:t>
      </w:r>
      <w:r>
        <w:rPr>
          <w:rFonts w:hint="eastAsia"/>
        </w:rPr>
        <w:t>64-68+73.</w:t>
      </w:r>
      <w:bookmarkEnd w:id="168"/>
    </w:p>
    <w:p>
      <w:pPr>
        <w:pStyle w:val="23"/>
        <w:bidi w:val="0"/>
      </w:pPr>
      <w:bookmarkStart w:id="169" w:name="_Ref164592021"/>
      <w:bookmarkStart w:id="170" w:name="_Ref161271990"/>
      <w:r>
        <w:rPr>
          <w:rFonts w:hint="eastAsia"/>
        </w:rPr>
        <w:t>Wong J, Chiang YF, Shih YH, et al. Salvia sclarea L. Essential Oil Extract and Its Antioxidative Phytochemical Sclareol Inhibit Oxytocin-Induced Uterine Hypercontraction Dysmenorrhea Model by Inhibiting the Ca</w:t>
      </w:r>
      <w:r>
        <w:rPr>
          <w:rFonts w:hint="eastAsia"/>
          <w:vertAlign w:val="superscript"/>
        </w:rPr>
        <w:t>2+</w:t>
      </w:r>
      <w:r>
        <w:rPr>
          <w:rFonts w:hint="eastAsia"/>
        </w:rPr>
        <w:t xml:space="preserve">-MLCK-MLC20 Signaling Cascade: An </w:t>
      </w:r>
      <w:r>
        <w:rPr>
          <w:rFonts w:hint="eastAsia"/>
          <w:i/>
          <w:iCs/>
        </w:rPr>
        <w:t>Ex Vivo</w:t>
      </w:r>
      <w:r>
        <w:rPr>
          <w:rFonts w:hint="eastAsia"/>
        </w:rPr>
        <w:t xml:space="preserve"> and </w:t>
      </w:r>
      <w:r>
        <w:rPr>
          <w:rFonts w:hint="eastAsia"/>
          <w:i/>
          <w:iCs/>
        </w:rPr>
        <w:t>In Vivo</w:t>
      </w:r>
      <w:r>
        <w:rPr>
          <w:rFonts w:hint="eastAsia"/>
        </w:rPr>
        <w:t xml:space="preserve"> Study[J]. Antioxidants (Basel). 2020, 9(10): 991.</w:t>
      </w:r>
      <w:bookmarkEnd w:id="169"/>
      <w:r>
        <w:rPr>
          <w:rFonts w:hint="eastAsia"/>
        </w:rPr>
        <w:t xml:space="preserve"> </w:t>
      </w:r>
      <w:bookmarkEnd w:id="170"/>
    </w:p>
    <w:p>
      <w:pPr>
        <w:pStyle w:val="23"/>
        <w:bidi w:val="0"/>
      </w:pPr>
      <w:bookmarkStart w:id="171" w:name="_Ref21424"/>
      <w:r>
        <w:rPr>
          <w:rFonts w:hint="eastAsia"/>
        </w:rPr>
        <w:t xml:space="preserve">Zhang T, Sun M, Guo Y, et al. Overexpression of LiDXS and LiDXR From Lily (Lilium 'Siberia') Enhances the Terpenoid Content in Tobacco Flowers[J]. </w:t>
      </w:r>
      <w:r>
        <w:rPr>
          <w:rFonts w:hint="eastAsia"/>
          <w:i/>
          <w:iCs/>
        </w:rPr>
        <w:t>Front Plant Sci</w:t>
      </w:r>
      <w:r>
        <w:rPr>
          <w:rFonts w:hint="eastAsia"/>
        </w:rPr>
        <w:t>. 2018</w:t>
      </w:r>
      <w:r>
        <w:rPr>
          <w:rFonts w:hint="eastAsia"/>
          <w:lang w:val="en-US" w:eastAsia="zh-CN"/>
        </w:rPr>
        <w:t xml:space="preserve">, </w:t>
      </w:r>
      <w:r>
        <w:rPr>
          <w:rFonts w:hint="eastAsia"/>
        </w:rPr>
        <w:t>9:</w:t>
      </w:r>
      <w:r>
        <w:rPr>
          <w:rFonts w:hint="eastAsia"/>
          <w:lang w:val="en-US" w:eastAsia="zh-CN"/>
        </w:rPr>
        <w:t xml:space="preserve"> </w:t>
      </w:r>
      <w:r>
        <w:rPr>
          <w:rFonts w:hint="eastAsia"/>
        </w:rPr>
        <w:t xml:space="preserve">909. </w:t>
      </w:r>
      <w:bookmarkEnd w:id="171"/>
    </w:p>
    <w:p>
      <w:pPr>
        <w:pStyle w:val="23"/>
        <w:bidi w:val="0"/>
      </w:pPr>
      <w:bookmarkStart w:id="172" w:name="_Ref22540"/>
      <w:r>
        <w:rPr>
          <w:rFonts w:hint="eastAsia"/>
        </w:rPr>
        <w:t>Popova V, Ivanova T, Stoyanova A, et al. Terpenoids in the Essential Oil and Concentrated Aromatic Products Obtained from Nicotiana glutinosa L. Leaves[J]. Molecules. 2019</w:t>
      </w:r>
      <w:r>
        <w:rPr>
          <w:rFonts w:hint="eastAsia"/>
          <w:lang w:val="en-US" w:eastAsia="zh-CN"/>
        </w:rPr>
        <w:t xml:space="preserve">, </w:t>
      </w:r>
      <w:r>
        <w:rPr>
          <w:rFonts w:hint="eastAsia"/>
        </w:rPr>
        <w:t>25(1):</w:t>
      </w:r>
      <w:r>
        <w:rPr>
          <w:rFonts w:hint="eastAsia"/>
          <w:lang w:val="en-US" w:eastAsia="zh-CN"/>
        </w:rPr>
        <w:t xml:space="preserve"> </w:t>
      </w:r>
      <w:r>
        <w:rPr>
          <w:rFonts w:hint="eastAsia"/>
        </w:rPr>
        <w:t xml:space="preserve">30. </w:t>
      </w:r>
      <w:bookmarkEnd w:id="172"/>
    </w:p>
    <w:p>
      <w:pPr>
        <w:pStyle w:val="23"/>
        <w:bidi w:val="0"/>
      </w:pPr>
      <w:bookmarkStart w:id="173" w:name="_Ref164436151"/>
      <w:bookmarkStart w:id="174" w:name="_Ref164190699"/>
      <w:r>
        <w:rPr>
          <w:rFonts w:hint="eastAsia"/>
        </w:rPr>
        <w:t>郜玉欣, 黄雨薇, 陈星宇等. 纯化香紫苏浸膏中的香紫苏醇的工艺优化[J]. 生命科学仪器, 2022, 20(04): 59-64.</w:t>
      </w:r>
      <w:bookmarkEnd w:id="173"/>
      <w:r>
        <w:rPr>
          <w:rFonts w:hint="eastAsia"/>
        </w:rPr>
        <w:t xml:space="preserve"> </w:t>
      </w:r>
      <w:bookmarkEnd w:id="174"/>
    </w:p>
    <w:p>
      <w:pPr>
        <w:pStyle w:val="23"/>
        <w:bidi w:val="0"/>
      </w:pPr>
      <w:bookmarkStart w:id="175" w:name="_Ref164190709"/>
      <w:bookmarkStart w:id="176" w:name="_Ref164436164"/>
      <w:r>
        <w:rPr>
          <w:rFonts w:hint="eastAsia"/>
        </w:rPr>
        <w:t>周利萍, 朱晨, 常海飞等. 蜡含量对香紫苏醇产率的影响[J]. 延安大学学报(自然科学版), 2010, 29(02): 87-88+94.</w:t>
      </w:r>
      <w:bookmarkEnd w:id="175"/>
      <w:bookmarkEnd w:id="176"/>
    </w:p>
    <w:p>
      <w:pPr>
        <w:pStyle w:val="23"/>
        <w:bidi w:val="0"/>
      </w:pPr>
      <w:bookmarkStart w:id="177" w:name="_Ref164592743"/>
      <w:r>
        <w:rPr>
          <w:rFonts w:hint="eastAsia"/>
        </w:rPr>
        <w:t>孙立权, 郜玉欣, 滕茂浩. 香紫苏醇发酵液中香紫苏醇的提取与纯化工艺[J]. 化学试剂, 2023, 45(12): 48-53.</w:t>
      </w:r>
      <w:bookmarkEnd w:id="177"/>
      <w:r>
        <w:rPr>
          <w:rFonts w:hint="eastAsia"/>
        </w:rPr>
        <w:t xml:space="preserve"> </w:t>
      </w:r>
    </w:p>
    <w:p>
      <w:pPr>
        <w:pStyle w:val="23"/>
        <w:bidi w:val="0"/>
        <w:rPr>
          <w:rFonts w:hint="eastAsia"/>
        </w:rPr>
      </w:pPr>
      <w:bookmarkStart w:id="178" w:name="_Ref164605225"/>
      <w:bookmarkStart w:id="179" w:name="_Ref164087106"/>
      <w:r>
        <w:rPr>
          <w:rFonts w:hint="eastAsia"/>
        </w:rPr>
        <w:t>Roe K. An inflammation classification system using cytokine parameters[J]. </w:t>
      </w:r>
      <w:r>
        <w:rPr>
          <w:rFonts w:hint="eastAsia"/>
          <w:i/>
          <w:iCs/>
        </w:rPr>
        <w:t>Scand J Immunol</w:t>
      </w:r>
      <w:r>
        <w:rPr>
          <w:rFonts w:hint="eastAsia"/>
        </w:rPr>
        <w:t>. 2021, 93(2): 12970.</w:t>
      </w:r>
      <w:bookmarkEnd w:id="178"/>
      <w:r>
        <w:rPr>
          <w:rFonts w:hint="eastAsia"/>
        </w:rPr>
        <w:t xml:space="preserve"> </w:t>
      </w:r>
      <w:bookmarkEnd w:id="179"/>
    </w:p>
    <w:p>
      <w:pPr>
        <w:pStyle w:val="23"/>
        <w:bidi w:val="0"/>
      </w:pPr>
      <w:bookmarkStart w:id="180" w:name="_Ref164605226"/>
      <w:r>
        <w:t>Yang N, Zou C, Luo W, et al. Sclareol attenuates angiotensin II-induced cardiac remodeling and inflammation via inhibiting MAPK signaling</w:t>
      </w:r>
      <w:r>
        <w:rPr>
          <w:rFonts w:hint="eastAsia"/>
        </w:rPr>
        <w:t>[J]</w:t>
      </w:r>
      <w:r>
        <w:t>.</w:t>
      </w:r>
      <w:r>
        <w:rPr>
          <w:i/>
          <w:iCs/>
        </w:rPr>
        <w:t xml:space="preserve"> Phytother Res</w:t>
      </w:r>
      <w:r>
        <w:t>. 2023</w:t>
      </w:r>
      <w:r>
        <w:rPr>
          <w:rFonts w:hint="eastAsia"/>
        </w:rPr>
        <w:t xml:space="preserve">, </w:t>
      </w:r>
      <w:r>
        <w:t>37(2):</w:t>
      </w:r>
      <w:r>
        <w:rPr>
          <w:rFonts w:hint="eastAsia"/>
        </w:rPr>
        <w:t xml:space="preserve"> </w:t>
      </w:r>
      <w:r>
        <w:t>578-591.</w:t>
      </w:r>
      <w:bookmarkEnd w:id="180"/>
      <w:r>
        <w:t xml:space="preserve"> </w:t>
      </w:r>
    </w:p>
    <w:p>
      <w:pPr>
        <w:pStyle w:val="23"/>
        <w:bidi w:val="0"/>
      </w:pPr>
      <w:bookmarkStart w:id="181" w:name="_Ref161267829"/>
      <w:r>
        <w:rPr>
          <w:rFonts w:hint="eastAsia"/>
        </w:rPr>
        <w:t>Tsai SW, Hsieh MC, Li S, et al. Therapeutic Potential of Sclareol in Experimental Models of Rheumatoid Arthritis[J]. </w:t>
      </w:r>
      <w:r>
        <w:rPr>
          <w:rFonts w:hint="eastAsia"/>
          <w:i/>
          <w:iCs/>
        </w:rPr>
        <w:t>Int J Mol Sci</w:t>
      </w:r>
      <w:r>
        <w:rPr>
          <w:rFonts w:hint="eastAsia"/>
        </w:rPr>
        <w:t>. 2018, 19(5): 1351.</w:t>
      </w:r>
      <w:r>
        <w:t xml:space="preserve"> </w:t>
      </w:r>
      <w:bookmarkEnd w:id="181"/>
    </w:p>
    <w:p>
      <w:pPr>
        <w:pStyle w:val="23"/>
        <w:bidi w:val="0"/>
      </w:pPr>
      <w:bookmarkStart w:id="182" w:name="_Ref164190980"/>
      <w:bookmarkStart w:id="183" w:name="_Ref161306395"/>
      <w:r>
        <w:rPr>
          <w:rFonts w:hint="eastAsia"/>
        </w:rPr>
        <w:t>麻妙锋, 吴文君. 南欧丹参的研究进展[J]. 西北农业学报, 2005, 14(1): 79-83.</w:t>
      </w:r>
      <w:bookmarkEnd w:id="182"/>
      <w:r>
        <w:rPr>
          <w:rFonts w:hint="eastAsia"/>
        </w:rPr>
        <w:t xml:space="preserve"> </w:t>
      </w:r>
      <w:bookmarkEnd w:id="183"/>
    </w:p>
    <w:p>
      <w:pPr>
        <w:pStyle w:val="23"/>
        <w:bidi w:val="0"/>
      </w:pPr>
      <w:bookmarkStart w:id="184" w:name="_Ref161268686"/>
      <w:r>
        <w:rPr>
          <w:rFonts w:hint="eastAsia"/>
        </w:rPr>
        <w:t>Kim C, Kim JG, Kim KY. Anti-Candida Potential of Sclareol in Inhibiting Growth, Biofilm Formation, and Yeast-Hyphal Transition[J].</w:t>
      </w:r>
      <w:r>
        <w:rPr>
          <w:rFonts w:hint="eastAsia"/>
          <w:i/>
          <w:iCs/>
        </w:rPr>
        <w:t> J Fungi (Basel)</w:t>
      </w:r>
      <w:r>
        <w:rPr>
          <w:rFonts w:hint="eastAsia"/>
        </w:rPr>
        <w:t>. 2023, 9(1): 98.</w:t>
      </w:r>
      <w:r>
        <w:t xml:space="preserve"> </w:t>
      </w:r>
      <w:bookmarkEnd w:id="184"/>
    </w:p>
    <w:p>
      <w:pPr>
        <w:pStyle w:val="23"/>
        <w:bidi w:val="0"/>
      </w:pPr>
      <w:bookmarkStart w:id="185" w:name="_Ref161270406"/>
      <w:r>
        <w:rPr>
          <w:rFonts w:hint="eastAsia"/>
        </w:rPr>
        <w:t>Ping O, Mao S, Xuewen H, et al. Sclareol Protects Staphylococcus aureus-Induced Lung Cell Injury via Inhibiting Alpha-Hemolysin Expression[J]. </w:t>
      </w:r>
      <w:r>
        <w:rPr>
          <w:rFonts w:hint="eastAsia"/>
          <w:i/>
          <w:iCs/>
        </w:rPr>
        <w:t>J Microbiol Biotechnol</w:t>
      </w:r>
      <w:r>
        <w:rPr>
          <w:rFonts w:hint="eastAsia"/>
        </w:rPr>
        <w:t>. 2017, 27(1): 19-25.</w:t>
      </w:r>
      <w:r>
        <w:t xml:space="preserve"> </w:t>
      </w:r>
      <w:bookmarkEnd w:id="185"/>
    </w:p>
    <w:p>
      <w:pPr>
        <w:pStyle w:val="23"/>
        <w:bidi w:val="0"/>
      </w:pPr>
      <w:bookmarkStart w:id="186" w:name="_Ref161311220"/>
      <w:r>
        <w:rPr>
          <w:rFonts w:hint="eastAsia"/>
        </w:rPr>
        <w:t>Bisio A, Schito AM, Pedrelli F, et al. Antibacterial and ATP Synthesis Modulating Compounds from Salvia tingitana[J]. </w:t>
      </w:r>
      <w:r>
        <w:rPr>
          <w:rFonts w:hint="eastAsia"/>
          <w:i/>
          <w:iCs/>
        </w:rPr>
        <w:t>J Nat Prod</w:t>
      </w:r>
      <w:r>
        <w:rPr>
          <w:rFonts w:hint="eastAsia"/>
        </w:rPr>
        <w:t>. 2020, 83(4): 1027-1042</w:t>
      </w:r>
      <w:r>
        <w:t xml:space="preserve">. </w:t>
      </w:r>
      <w:bookmarkEnd w:id="186"/>
    </w:p>
    <w:p>
      <w:pPr>
        <w:pStyle w:val="23"/>
        <w:bidi w:val="0"/>
      </w:pPr>
      <w:bookmarkStart w:id="187" w:name="_Ref161316783"/>
      <w:r>
        <w:rPr>
          <w:rFonts w:hint="eastAsia"/>
        </w:rPr>
        <w:t>Zhang T, Wang T, Cai P. Sclareol inhibits cell proliferation and sensitizes cells to the antiproliferative effect of bortezomib via upregulating the tumor suppressor caveolin-1 in cervical cancer cells[J]. </w:t>
      </w:r>
      <w:r>
        <w:rPr>
          <w:rFonts w:hint="eastAsia"/>
          <w:i/>
          <w:iCs/>
        </w:rPr>
        <w:t>Mol Med Rep</w:t>
      </w:r>
      <w:r>
        <w:rPr>
          <w:rFonts w:hint="eastAsia"/>
        </w:rPr>
        <w:t>. 2017, 15(6): 3566-3574.</w:t>
      </w:r>
      <w:bookmarkEnd w:id="187"/>
    </w:p>
    <w:p>
      <w:pPr>
        <w:pStyle w:val="23"/>
        <w:bidi w:val="0"/>
      </w:pPr>
      <w:bookmarkStart w:id="188" w:name="_Ref161322716"/>
      <w:r>
        <w:rPr>
          <w:rFonts w:hint="eastAsia"/>
        </w:rPr>
        <w:t>Noori S, Hassan ZM, Salehian O. Sclareol reduces CD</w:t>
      </w:r>
      <w:r>
        <w:rPr>
          <w:rFonts w:hint="eastAsia"/>
          <w:vertAlign w:val="superscript"/>
        </w:rPr>
        <w:t>4+</w:t>
      </w:r>
      <w:r>
        <w:rPr>
          <w:rFonts w:hint="eastAsia"/>
        </w:rPr>
        <w:t xml:space="preserve"> CD</w:t>
      </w:r>
      <w:r>
        <w:rPr>
          <w:rFonts w:hint="eastAsia"/>
          <w:vertAlign w:val="superscript"/>
        </w:rPr>
        <w:t>25+</w:t>
      </w:r>
      <w:r>
        <w:rPr>
          <w:rFonts w:hint="eastAsia"/>
        </w:rPr>
        <w:t xml:space="preserve"> FoxP</w:t>
      </w:r>
      <w:r>
        <w:rPr>
          <w:rFonts w:hint="eastAsia"/>
          <w:vertAlign w:val="superscript"/>
        </w:rPr>
        <w:t>3+</w:t>
      </w:r>
      <w:r>
        <w:rPr>
          <w:rFonts w:hint="eastAsia"/>
        </w:rPr>
        <w:t xml:space="preserve"> Treg cells in a breast cancer model in vivo[J]. </w:t>
      </w:r>
      <w:r>
        <w:rPr>
          <w:rFonts w:hint="eastAsia"/>
          <w:i/>
          <w:iCs/>
        </w:rPr>
        <w:t>Iran J Immunol</w:t>
      </w:r>
      <w:r>
        <w:rPr>
          <w:rFonts w:hint="eastAsia"/>
        </w:rPr>
        <w:t>. 2013, 10(1): 10-21.</w:t>
      </w:r>
      <w:bookmarkEnd w:id="188"/>
    </w:p>
    <w:p>
      <w:pPr>
        <w:pStyle w:val="23"/>
        <w:bidi w:val="0"/>
      </w:pPr>
      <w:bookmarkStart w:id="189" w:name="_Ref164090158"/>
      <w:r>
        <w:rPr>
          <w:rFonts w:hint="eastAsia"/>
        </w:rPr>
        <w:t>Afshari H, Nourbakhsh M, Salehi N, Mahboubi-Rabbani M, Zarghi A, Noori S. STAT3-mediated Apoptotic-enhancing Function of Sclareol Against Breast Cancer Cells and Cell Sensitization to Cyclophosphamide[J].</w:t>
      </w:r>
      <w:r>
        <w:rPr>
          <w:rFonts w:hint="eastAsia"/>
          <w:i/>
          <w:iCs/>
        </w:rPr>
        <w:t> Iran J Pharm Res</w:t>
      </w:r>
      <w:r>
        <w:rPr>
          <w:rFonts w:hint="eastAsia"/>
        </w:rPr>
        <w:t xml:space="preserve">. 2020, 19(1): 398-412. </w:t>
      </w:r>
      <w:bookmarkEnd w:id="189"/>
    </w:p>
    <w:p>
      <w:pPr>
        <w:pStyle w:val="23"/>
        <w:bidi w:val="0"/>
      </w:pPr>
      <w:bookmarkStart w:id="190" w:name="_Ref164090890"/>
      <w:r>
        <w:t>Wang L, He HS, Yu HL, et al.</w:t>
      </w:r>
      <w:bookmarkStart w:id="191" w:name="OLE_LINK6"/>
      <w:r>
        <w:t xml:space="preserve"> Sclareol, a plant diterpene, exhibits potent antiproliferative effects via the induction of apoptosis and mitochondrial membrane potential loss in osteosarcoma cancer cells</w:t>
      </w:r>
      <w:r>
        <w:rPr>
          <w:rFonts w:hint="eastAsia"/>
        </w:rPr>
        <w:t>[J]</w:t>
      </w:r>
      <w:r>
        <w:t xml:space="preserve">. </w:t>
      </w:r>
      <w:r>
        <w:rPr>
          <w:i/>
          <w:iCs/>
        </w:rPr>
        <w:t>Mol Med Rep</w:t>
      </w:r>
      <w:bookmarkEnd w:id="191"/>
      <w:r>
        <w:t>. 2015</w:t>
      </w:r>
      <w:r>
        <w:rPr>
          <w:rFonts w:hint="eastAsia"/>
        </w:rPr>
        <w:t xml:space="preserve">, </w:t>
      </w:r>
      <w:r>
        <w:t>11(6):</w:t>
      </w:r>
      <w:r>
        <w:rPr>
          <w:rFonts w:hint="eastAsia"/>
        </w:rPr>
        <w:t xml:space="preserve"> </w:t>
      </w:r>
      <w:r>
        <w:t>4273-4278.</w:t>
      </w:r>
      <w:r>
        <w:rPr>
          <w:rFonts w:hint="eastAsia"/>
        </w:rPr>
        <w:t xml:space="preserve"> </w:t>
      </w:r>
      <w:bookmarkEnd w:id="190"/>
    </w:p>
    <w:p>
      <w:pPr>
        <w:pStyle w:val="23"/>
        <w:bidi w:val="0"/>
      </w:pPr>
      <w:bookmarkStart w:id="192" w:name="_Ref164594055"/>
      <w:r>
        <w:t>Bhatia S, Al-Harrasi A, Shah YA, et al. The Effect of Sage (Salvia sclarea) Essential Oil on the Physiochemical and Antioxidant Properties of Sodium Alginate and Casein-Based Composite Edible Films</w:t>
      </w:r>
      <w:r>
        <w:rPr>
          <w:rFonts w:hint="eastAsia"/>
        </w:rPr>
        <w:t>[J]</w:t>
      </w:r>
      <w:r>
        <w:t xml:space="preserve">. </w:t>
      </w:r>
      <w:r>
        <w:rPr>
          <w:i/>
          <w:iCs/>
        </w:rPr>
        <w:t>Gels</w:t>
      </w:r>
      <w:r>
        <w:t>. 2023</w:t>
      </w:r>
      <w:r>
        <w:rPr>
          <w:rFonts w:hint="eastAsia"/>
          <w:lang w:val="en-US" w:eastAsia="zh-CN"/>
        </w:rPr>
        <w:t>,</w:t>
      </w:r>
      <w:r>
        <w:rPr>
          <w:rFonts w:hint="eastAsia"/>
        </w:rPr>
        <w:t xml:space="preserve"> </w:t>
      </w:r>
      <w:r>
        <w:t>9(3):</w:t>
      </w:r>
      <w:r>
        <w:rPr>
          <w:rFonts w:hint="eastAsia"/>
        </w:rPr>
        <w:t xml:space="preserve"> </w:t>
      </w:r>
      <w:r>
        <w:t>233.</w:t>
      </w:r>
      <w:bookmarkEnd w:id="192"/>
      <w:r>
        <w:rPr>
          <w:rFonts w:hint="eastAsia"/>
        </w:rPr>
        <w:t xml:space="preserve"> </w:t>
      </w:r>
    </w:p>
    <w:p>
      <w:pPr>
        <w:pStyle w:val="23"/>
        <w:bidi w:val="0"/>
      </w:pPr>
      <w:bookmarkStart w:id="193" w:name="_Ref161308252"/>
      <w:r>
        <w:rPr>
          <w:rFonts w:hint="eastAsia"/>
        </w:rPr>
        <w:t>李淑娣, 王振, 刘江凯等. 基于细胞信号通路探讨黄芪活性成分抗肝纤维化的研究进展[J]. 中国药理学通报, 2023, 39(1): 18-23.</w:t>
      </w:r>
      <w:bookmarkEnd w:id="193"/>
    </w:p>
    <w:p>
      <w:pPr>
        <w:pStyle w:val="23"/>
        <w:bidi w:val="0"/>
      </w:pPr>
      <w:bookmarkStart w:id="194" w:name="_Ref161308651"/>
      <w:r>
        <w:rPr>
          <w:rFonts w:hint="eastAsia"/>
        </w:rPr>
        <w:t>王洁, 冯驰, 董武等. 斑马鱼肝纤维化动物模型研究进展[J]. 中国实验动物学报, 2023, 31(4): 531-540.</w:t>
      </w:r>
      <w:bookmarkEnd w:id="194"/>
    </w:p>
    <w:p>
      <w:pPr>
        <w:pStyle w:val="23"/>
        <w:bidi w:val="0"/>
      </w:pPr>
      <w:bookmarkStart w:id="195" w:name="_Ref161309794"/>
      <w:r>
        <w:rPr>
          <w:rFonts w:hint="eastAsia"/>
        </w:rPr>
        <w:t>牛媛媛, 汪龙德, 毛兰芳等. 基于网络药理学探讨化瘀软肝胶囊对肝纤维化大鼠的肝脏保护作用[J]. 中成药, 2023, 45(9): 3104-3109.</w:t>
      </w:r>
      <w:bookmarkEnd w:id="195"/>
    </w:p>
    <w:p>
      <w:pPr>
        <w:pStyle w:val="23"/>
        <w:bidi w:val="0"/>
      </w:pPr>
      <w:bookmarkStart w:id="196" w:name="_Ref164191460"/>
      <w:r>
        <w:rPr>
          <w:rFonts w:hint="eastAsia"/>
        </w:rPr>
        <w:t>李青青, 杨红胜, 李金斗等. 肝纤维化发病机制及中医药抗肝纤维化的研究进展[J]. 江汉大学学报(自然科学版), 2023, 51(03): 75-81.</w:t>
      </w:r>
      <w:bookmarkEnd w:id="196"/>
    </w:p>
    <w:p>
      <w:pPr>
        <w:pStyle w:val="23"/>
        <w:bidi w:val="0"/>
      </w:pPr>
      <w:bookmarkStart w:id="197" w:name="_Ref164191469"/>
      <w:r>
        <w:rPr>
          <w:rFonts w:hint="eastAsia"/>
        </w:rPr>
        <w:t>翁飞鸿, 周一平, 伊思敏等. 肝纤维化的病理学发生机制及诊疗研究进展[J]. 天津医科大学学报, 2023, 29(05): 559-563.</w:t>
      </w:r>
      <w:bookmarkEnd w:id="197"/>
    </w:p>
    <w:p>
      <w:pPr>
        <w:pStyle w:val="23"/>
        <w:bidi w:val="0"/>
      </w:pPr>
      <w:bookmarkStart w:id="198" w:name="_Ref161321603"/>
      <w:r>
        <w:t>Odenwald MA, Paul S. Viral hepatitis: Past, present, and future</w:t>
      </w:r>
      <w:r>
        <w:rPr>
          <w:rFonts w:hint="eastAsia"/>
        </w:rPr>
        <w:t>[J]</w:t>
      </w:r>
      <w:r>
        <w:t xml:space="preserve">. </w:t>
      </w:r>
      <w:r>
        <w:rPr>
          <w:i/>
          <w:iCs/>
        </w:rPr>
        <w:t>World J Gastroenterol</w:t>
      </w:r>
      <w:r>
        <w:t>. 2022</w:t>
      </w:r>
      <w:r>
        <w:rPr>
          <w:rFonts w:hint="eastAsia"/>
        </w:rPr>
        <w:t xml:space="preserve">, </w:t>
      </w:r>
      <w:r>
        <w:t>28(14):</w:t>
      </w:r>
      <w:r>
        <w:rPr>
          <w:rFonts w:hint="eastAsia"/>
        </w:rPr>
        <w:t xml:space="preserve"> </w:t>
      </w:r>
      <w:r>
        <w:t xml:space="preserve">1405-1429. </w:t>
      </w:r>
      <w:bookmarkEnd w:id="198"/>
    </w:p>
    <w:p>
      <w:pPr>
        <w:pStyle w:val="23"/>
        <w:bidi w:val="0"/>
      </w:pPr>
      <w:bookmarkStart w:id="199" w:name="_Ref162275031"/>
      <w:r>
        <w:rPr>
          <w:rFonts w:hint="eastAsia"/>
        </w:rPr>
        <w:t xml:space="preserve">邓威, 陈倩. 不同病因肝纤维化治疗的研究进展[J]. 疑难病杂志, 2021, 20(9): 957-962. </w:t>
      </w:r>
      <w:bookmarkEnd w:id="199"/>
    </w:p>
    <w:p>
      <w:pPr>
        <w:pStyle w:val="23"/>
        <w:bidi w:val="0"/>
      </w:pPr>
      <w:bookmarkStart w:id="200" w:name="_Ref164091302"/>
      <w:r>
        <w:t>Cobbina E, Akhlaghi F. Non-alcoholic fatty liver disease (NAFLD) - pathogenesis, classification, and effect on drug metabolizing enzymes and transporters</w:t>
      </w:r>
      <w:r>
        <w:rPr>
          <w:rFonts w:hint="eastAsia"/>
        </w:rPr>
        <w:t>[J]</w:t>
      </w:r>
      <w:r>
        <w:t>.</w:t>
      </w:r>
      <w:r>
        <w:rPr>
          <w:i/>
          <w:iCs/>
        </w:rPr>
        <w:t xml:space="preserve"> Drug Metab Rev</w:t>
      </w:r>
      <w:r>
        <w:t>. 2017</w:t>
      </w:r>
      <w:r>
        <w:rPr>
          <w:rFonts w:hint="eastAsia"/>
        </w:rPr>
        <w:t xml:space="preserve">, </w:t>
      </w:r>
      <w:r>
        <w:t>49(2):</w:t>
      </w:r>
      <w:r>
        <w:rPr>
          <w:rFonts w:hint="eastAsia"/>
        </w:rPr>
        <w:t xml:space="preserve"> </w:t>
      </w:r>
      <w:r>
        <w:t xml:space="preserve">197-211. </w:t>
      </w:r>
      <w:bookmarkEnd w:id="200"/>
    </w:p>
    <w:p>
      <w:pPr>
        <w:pStyle w:val="23"/>
        <w:bidi w:val="0"/>
      </w:pPr>
      <w:bookmarkStart w:id="201" w:name="_Ref164191677"/>
      <w:r>
        <w:rPr>
          <w:rFonts w:hint="eastAsia"/>
        </w:rPr>
        <w:t>苑百玲. 药物性肝病[J]. 中国医药指南, 2011, 9(32): 46-47.</w:t>
      </w:r>
      <w:bookmarkEnd w:id="201"/>
      <w:r>
        <w:rPr>
          <w:rFonts w:hint="eastAsia"/>
        </w:rPr>
        <w:t xml:space="preserve"> </w:t>
      </w:r>
    </w:p>
    <w:p>
      <w:pPr>
        <w:pStyle w:val="23"/>
        <w:bidi w:val="0"/>
        <w:rPr>
          <w:rFonts w:hint="eastAsia"/>
        </w:rPr>
      </w:pPr>
      <w:bookmarkStart w:id="202" w:name="_Ref163680140"/>
      <w:r>
        <w:rPr>
          <w:rFonts w:hint="eastAsia"/>
        </w:rPr>
        <w:t>Abdelfattah AM, Mahmoud SS, El-Wafaey DI, et al. Diacerein ameliorates cholestasis-induced liver fibrosis in rat via modulating HMGB1/RAGE/NF-κB/JNK pathway and endoplasmic reticulum stress[J]. </w:t>
      </w:r>
      <w:r>
        <w:rPr>
          <w:rFonts w:hint="eastAsia"/>
          <w:i/>
          <w:iCs/>
        </w:rPr>
        <w:t>Sci Rep</w:t>
      </w:r>
      <w:r>
        <w:rPr>
          <w:rFonts w:hint="eastAsia"/>
        </w:rPr>
        <w:t xml:space="preserve">. 2023, 13(1): 11455. </w:t>
      </w:r>
      <w:bookmarkEnd w:id="202"/>
    </w:p>
    <w:p>
      <w:pPr>
        <w:pStyle w:val="23"/>
        <w:bidi w:val="0"/>
      </w:pPr>
      <w:bookmarkStart w:id="203" w:name="_Ref164609487"/>
      <w:r>
        <w:t>Patel K, Bedossa P, Castera L. Diagnosis of liver fibrosis: present and future</w:t>
      </w:r>
      <w:r>
        <w:rPr>
          <w:rFonts w:hint="eastAsia"/>
        </w:rPr>
        <w:t>[J]</w:t>
      </w:r>
      <w:r>
        <w:t xml:space="preserve">. </w:t>
      </w:r>
      <w:r>
        <w:rPr>
          <w:i/>
          <w:iCs/>
        </w:rPr>
        <w:t>Semin Liver Dis</w:t>
      </w:r>
      <w:r>
        <w:t>. 2015</w:t>
      </w:r>
      <w:r>
        <w:rPr>
          <w:rFonts w:hint="eastAsia"/>
        </w:rPr>
        <w:t xml:space="preserve">, </w:t>
      </w:r>
      <w:r>
        <w:t>35(2):</w:t>
      </w:r>
      <w:r>
        <w:rPr>
          <w:rFonts w:hint="eastAsia"/>
        </w:rPr>
        <w:t xml:space="preserve"> </w:t>
      </w:r>
      <w:r>
        <w:t>166-183.</w:t>
      </w:r>
      <w:bookmarkEnd w:id="203"/>
      <w:r>
        <w:t xml:space="preserve"> </w:t>
      </w:r>
    </w:p>
    <w:p>
      <w:pPr>
        <w:pStyle w:val="23"/>
        <w:bidi w:val="0"/>
      </w:pPr>
      <w:bookmarkStart w:id="204" w:name="_Ref161320737"/>
      <w:r>
        <w:t>Masuzaki R, Kanda T, Sasaki R, et al. Noninvasive Assessment of Liver Fibrosis: Current and Future Clinical and Molecular Perspectives</w:t>
      </w:r>
      <w:r>
        <w:rPr>
          <w:rFonts w:hint="eastAsia"/>
        </w:rPr>
        <w:t>[J]</w:t>
      </w:r>
      <w:r>
        <w:t xml:space="preserve">. </w:t>
      </w:r>
      <w:r>
        <w:rPr>
          <w:i/>
          <w:iCs/>
        </w:rPr>
        <w:t>Int J Mol Sci</w:t>
      </w:r>
      <w:r>
        <w:t>. 2020</w:t>
      </w:r>
      <w:r>
        <w:rPr>
          <w:rFonts w:hint="eastAsia"/>
        </w:rPr>
        <w:t xml:space="preserve">, </w:t>
      </w:r>
      <w:r>
        <w:t>21(14):</w:t>
      </w:r>
      <w:r>
        <w:rPr>
          <w:rFonts w:hint="eastAsia"/>
        </w:rPr>
        <w:t xml:space="preserve"> </w:t>
      </w:r>
      <w:r>
        <w:t xml:space="preserve">4906. </w:t>
      </w:r>
      <w:bookmarkEnd w:id="204"/>
    </w:p>
    <w:p>
      <w:pPr>
        <w:pStyle w:val="23"/>
        <w:bidi w:val="0"/>
      </w:pPr>
      <w:bookmarkStart w:id="205" w:name="_Ref164191849"/>
      <w:r>
        <w:rPr>
          <w:rFonts w:hint="eastAsia"/>
        </w:rPr>
        <w:t>韩轶, 刘立新. 肝纤维化血清学诊断指标研究进展[J]. 中华消化病与影像杂志(电子版), 2013, 3(04): 35-41.</w:t>
      </w:r>
      <w:bookmarkEnd w:id="205"/>
    </w:p>
    <w:p>
      <w:pPr>
        <w:pStyle w:val="23"/>
        <w:bidi w:val="0"/>
      </w:pPr>
      <w:bookmarkStart w:id="206" w:name="_Ref163831778"/>
      <w:r>
        <w:rPr>
          <w:rFonts w:hint="eastAsia"/>
        </w:rPr>
        <w:t>魏莎, 陈晰, 章臻翊等. 肝纤维化的早期血清标志物研究进展[J]. 实用预防医学, 2024, 31(02): 252-257.</w:t>
      </w:r>
      <w:bookmarkEnd w:id="206"/>
    </w:p>
    <w:p>
      <w:pPr>
        <w:pStyle w:val="23"/>
        <w:bidi w:val="0"/>
      </w:pPr>
      <w:bookmarkStart w:id="207" w:name="_Ref164071728"/>
      <w:r>
        <w:rPr>
          <w:rFonts w:hint="eastAsia"/>
        </w:rPr>
        <w:t>凌清儿, 张戎. 肝纤维化治疗的研究进展[J]. 现代医药卫生, 2023, 39(11): 1926-1931.</w:t>
      </w:r>
      <w:bookmarkEnd w:id="207"/>
    </w:p>
    <w:p>
      <w:pPr>
        <w:pStyle w:val="23"/>
        <w:bidi w:val="0"/>
      </w:pPr>
      <w:bookmarkStart w:id="208" w:name="_Ref163829674"/>
      <w:r>
        <w:rPr>
          <w:rFonts w:hint="eastAsia"/>
        </w:rPr>
        <w:t>赵晨, 姜美玲, 邱懿雯. 肝纤维化血清学和影像学诊断的研究进展[J]. 国际消化病杂志, 2024, 44(01): 13-16+35.</w:t>
      </w:r>
      <w:bookmarkEnd w:id="208"/>
    </w:p>
    <w:p>
      <w:pPr>
        <w:pStyle w:val="23"/>
        <w:bidi w:val="0"/>
      </w:pPr>
      <w:bookmarkStart w:id="209" w:name="_Ref164092717"/>
      <w:r>
        <w:rPr>
          <w:rFonts w:hint="eastAsia"/>
        </w:rPr>
        <w:t>王洋, 史蕾, 孟雪等. 生物信息红外肝病治疗仪联合软肝化坚颗粒治疗慢性乙型肝炎肝纤维化疗效观察[J]. 现代中西医结合杂志, 2024, 33(02): 249-253.</w:t>
      </w:r>
      <w:bookmarkEnd w:id="209"/>
    </w:p>
    <w:p>
      <w:pPr>
        <w:pStyle w:val="23"/>
        <w:bidi w:val="0"/>
      </w:pPr>
      <w:bookmarkStart w:id="210" w:name="_Ref164093540"/>
      <w:r>
        <w:rPr>
          <w:rFonts w:hint="eastAsia"/>
        </w:rPr>
        <w:t>蒋开平, 黄凯舟. 警惕肝脏的求救信号[J]. 安全与健康, 2022, (05): 80.</w:t>
      </w:r>
      <w:bookmarkEnd w:id="210"/>
    </w:p>
    <w:p>
      <w:pPr>
        <w:pStyle w:val="23"/>
        <w:bidi w:val="0"/>
      </w:pPr>
      <w:bookmarkStart w:id="211" w:name="_Ref164094946"/>
      <w:r>
        <w:rPr>
          <w:rFonts w:hint="eastAsia"/>
        </w:rPr>
        <w:t>敦子倩, 卢伟娜. 人血清白蛋白结合异甘草酸镁对失代偿期肝硬化患者肝功能的影响[J]. 现代养生, 2024, 24(4): 249-251.</w:t>
      </w:r>
      <w:bookmarkEnd w:id="211"/>
    </w:p>
    <w:p>
      <w:pPr>
        <w:pStyle w:val="23"/>
        <w:bidi w:val="0"/>
      </w:pPr>
      <w:bookmarkStart w:id="212" w:name="_Ref164093635"/>
      <w:r>
        <w:rPr>
          <w:rFonts w:hint="eastAsia"/>
        </w:rPr>
        <w:t>张建国, 张颖. 肝硬化前会有三次预警[J]. 农村新技术, 2022, (01): 76.</w:t>
      </w:r>
      <w:bookmarkEnd w:id="212"/>
    </w:p>
    <w:p>
      <w:pPr>
        <w:pStyle w:val="23"/>
        <w:bidi w:val="0"/>
      </w:pPr>
      <w:bookmarkStart w:id="213" w:name="_Ref164094806"/>
      <w:r>
        <w:rPr>
          <w:rFonts w:hint="eastAsia"/>
        </w:rPr>
        <w:t>王涛, 鲁月利, 崔锐. 凝血功能检测在评估肝脏受损程度中的临床价值[J]. 系统医学, 2023, 8(22): 38-41.</w:t>
      </w:r>
      <w:bookmarkEnd w:id="213"/>
    </w:p>
    <w:p>
      <w:pPr>
        <w:pStyle w:val="23"/>
        <w:bidi w:val="0"/>
      </w:pPr>
      <w:bookmarkStart w:id="214" w:name="_Ref164192055"/>
      <w:r>
        <w:rPr>
          <w:rFonts w:hint="eastAsia"/>
        </w:rPr>
        <w:t xml:space="preserve">刘俊宏, 李欣瑜, 王淼蕾, 等. 中医药治疗肝纤维化的优势与特色[J]. 临床肝胆病杂志, 2023, 39(2): 267-272. </w:t>
      </w:r>
      <w:bookmarkEnd w:id="214"/>
    </w:p>
    <w:p>
      <w:pPr>
        <w:pStyle w:val="23"/>
        <w:bidi w:val="0"/>
      </w:pPr>
      <w:bookmarkStart w:id="215" w:name="_Ref164192063"/>
      <w:r>
        <w:rPr>
          <w:rFonts w:hint="eastAsia"/>
        </w:rPr>
        <w:t>覃家硕, 罗家玉, 庞华全, 等. 丹参有效成分抑制肝纤维化的研究进展[J]. 广西中医药大学学报, 2021, 24(03): 96-99.</w:t>
      </w:r>
      <w:bookmarkEnd w:id="215"/>
    </w:p>
    <w:p>
      <w:pPr>
        <w:pStyle w:val="23"/>
        <w:bidi w:val="0"/>
      </w:pPr>
      <w:bookmarkStart w:id="216" w:name="_Ref164192072"/>
      <w:r>
        <w:rPr>
          <w:rFonts w:hint="eastAsia"/>
        </w:rPr>
        <w:t>杨新荣, 窦霞, 李国峰等. 柴胡皂苷D对肝病防治作用及机制研究进展[J]. 中草药, 2022, 53(12): 3852-3862.</w:t>
      </w:r>
      <w:bookmarkEnd w:id="216"/>
    </w:p>
    <w:p>
      <w:pPr>
        <w:pStyle w:val="23"/>
        <w:bidi w:val="0"/>
      </w:pPr>
      <w:bookmarkStart w:id="217" w:name="_Ref7944"/>
      <w:r>
        <w:rPr>
          <w:rFonts w:hint="eastAsia"/>
        </w:rPr>
        <w:t>向杰, 邓敏贞, 李泽森, 等. 茵陈蒿汤方剂挥发油对肝纤维化小鼠的治疗作用及其机制[J]. 暨南大学学报（自然科学与医学版）, 2023, 44(6): 563-575.</w:t>
      </w:r>
      <w:bookmarkEnd w:id="217"/>
      <w:r>
        <w:rPr>
          <w:rFonts w:hint="eastAsia"/>
        </w:rPr>
        <w:t xml:space="preserve"> </w:t>
      </w:r>
    </w:p>
    <w:p>
      <w:pPr>
        <w:pStyle w:val="23"/>
        <w:bidi w:val="0"/>
      </w:pPr>
      <w:bookmarkStart w:id="218" w:name="_Ref164192170"/>
      <w:r>
        <w:rPr>
          <w:rFonts w:hint="eastAsia"/>
        </w:rPr>
        <w:t>李世粉, 杨若轩, 孙健等. 黄芪有效成分防治器官纤维化的研究进展[J]. 药学学报, 2023, 58(08): 2168-2179.</w:t>
      </w:r>
      <w:bookmarkEnd w:id="218"/>
    </w:p>
    <w:p>
      <w:pPr>
        <w:pStyle w:val="23"/>
        <w:bidi w:val="0"/>
      </w:pPr>
      <w:bookmarkStart w:id="219" w:name="_Ref164192177"/>
      <w:r>
        <w:rPr>
          <w:rFonts w:hint="eastAsia"/>
        </w:rPr>
        <w:t>余新华, 阮君山, 王少明. 甘草酸的应用进展[J]. 海峡药学, 2017, 29(07): 33-35.</w:t>
      </w:r>
      <w:bookmarkEnd w:id="219"/>
    </w:p>
    <w:p>
      <w:pPr>
        <w:pStyle w:val="23"/>
        <w:bidi w:val="0"/>
      </w:pPr>
      <w:bookmarkStart w:id="220" w:name="_Ref164192184"/>
      <w:r>
        <w:rPr>
          <w:rFonts w:hint="eastAsia"/>
        </w:rPr>
        <w:t>辛鑫, 胡义扬, 冯琴. 水飞蓟宾治疗非酒精性脂肪性肝病研究进展[J]. 中西医结合肝病杂志, 2018, 28(03): 189-192.</w:t>
      </w:r>
      <w:bookmarkEnd w:id="220"/>
    </w:p>
    <w:p>
      <w:pPr>
        <w:pStyle w:val="23"/>
        <w:bidi w:val="0"/>
      </w:pPr>
      <w:bookmarkStart w:id="221" w:name="_Ref164192192"/>
      <w:r>
        <w:rPr>
          <w:rFonts w:hint="eastAsia"/>
        </w:rPr>
        <w:t>杨耀. 中医中药抗肝纤维化作用机制及临床应用研究进展[J]. 现代养生, 2023, 23(05): 321-323.</w:t>
      </w:r>
      <w:bookmarkEnd w:id="221"/>
    </w:p>
    <w:p>
      <w:pPr>
        <w:pStyle w:val="23"/>
        <w:bidi w:val="0"/>
      </w:pPr>
      <w:bookmarkStart w:id="222" w:name="_Ref164192335"/>
      <w:r>
        <w:rPr>
          <w:rFonts w:hint="eastAsia"/>
        </w:rPr>
        <w:t>林燕, 郎驿天, 刘晓琰等. 熊去氧胆酸治疗原发性胆汁性胆管炎有效性和安全性的快速卫生技术评估[J]. 中国处方药, 2024, 22(03): 15-21.</w:t>
      </w:r>
      <w:bookmarkEnd w:id="222"/>
    </w:p>
    <w:p>
      <w:pPr>
        <w:pStyle w:val="23"/>
        <w:bidi w:val="0"/>
      </w:pPr>
      <w:bookmarkStart w:id="223" w:name="_Ref164192344"/>
      <w:r>
        <w:rPr>
          <w:rFonts w:hint="eastAsia"/>
        </w:rPr>
        <w:t>程宁, 李吉彦, 李梅等. 乙肝相关肝纤维化的中西医治疗进展与思考[J]. 中国中医药现代远程教育, 2023, 21(24): 197-199.</w:t>
      </w:r>
      <w:bookmarkEnd w:id="223"/>
    </w:p>
    <w:p>
      <w:pPr>
        <w:pStyle w:val="23"/>
        <w:bidi w:val="0"/>
      </w:pPr>
      <w:bookmarkStart w:id="224" w:name="_Ref164192352"/>
      <w:r>
        <w:rPr>
          <w:rFonts w:hint="eastAsia"/>
        </w:rPr>
        <w:t>朱心雨, 阮清发. 基于</w:t>
      </w:r>
      <w:r>
        <w:t>“</w:t>
      </w:r>
      <w:r>
        <w:rPr>
          <w:rFonts w:hint="eastAsia"/>
        </w:rPr>
        <w:t>康氏疫郁理论</w:t>
      </w:r>
      <w:r>
        <w:t>”</w:t>
      </w:r>
      <w:r>
        <w:rPr>
          <w:rFonts w:hint="eastAsia"/>
        </w:rPr>
        <w:t>中西医结合治疗病毒性肝病的经验浅析[J]. 黑龙江中医药, 2022, 51(01): 160-162.</w:t>
      </w:r>
      <w:bookmarkEnd w:id="224"/>
    </w:p>
    <w:p>
      <w:pPr>
        <w:pStyle w:val="23"/>
        <w:bidi w:val="0"/>
      </w:pPr>
      <w:bookmarkStart w:id="225" w:name="_Ref161319375"/>
      <w:r>
        <w:rPr>
          <w:rFonts w:hint="eastAsia"/>
        </w:rPr>
        <w:t>孙鸣远, 金权鑫, 张馨元等. 双氢青蒿素通过调节</w:t>
      </w:r>
      <w:r>
        <w:t>TGF-β</w:t>
      </w:r>
      <w:r>
        <w:rPr>
          <w:rFonts w:hint="eastAsia"/>
        </w:rPr>
        <w:t>/Smad通路改善小鼠接触性皮炎[J]. 中国免疫学杂志, 2023, 39(9): 1852-1857.</w:t>
      </w:r>
      <w:bookmarkEnd w:id="225"/>
    </w:p>
    <w:p>
      <w:pPr>
        <w:pStyle w:val="23"/>
        <w:bidi w:val="0"/>
      </w:pPr>
      <w:bookmarkStart w:id="226" w:name="_Ref164192471"/>
      <w:r>
        <w:t>Su C, Miao J, Guo J. The relationship between TGF-β1 and cognitive function in the brain</w:t>
      </w:r>
      <w:r>
        <w:rPr>
          <w:rFonts w:hint="eastAsia"/>
        </w:rPr>
        <w:t>[J]</w:t>
      </w:r>
      <w:r>
        <w:t>.</w:t>
      </w:r>
      <w:r>
        <w:rPr>
          <w:i/>
          <w:iCs/>
        </w:rPr>
        <w:t> Brain Res Bull</w:t>
      </w:r>
      <w:r>
        <w:t>. 2023,</w:t>
      </w:r>
      <w:r>
        <w:rPr>
          <w:rFonts w:hint="eastAsia"/>
        </w:rPr>
        <w:t xml:space="preserve"> </w:t>
      </w:r>
      <w:r>
        <w:t>205:</w:t>
      </w:r>
      <w:r>
        <w:rPr>
          <w:rFonts w:hint="eastAsia"/>
        </w:rPr>
        <w:t xml:space="preserve"> </w:t>
      </w:r>
      <w:r>
        <w:t>110820. .</w:t>
      </w:r>
      <w:bookmarkEnd w:id="226"/>
    </w:p>
    <w:p>
      <w:pPr>
        <w:pStyle w:val="23"/>
        <w:bidi w:val="0"/>
      </w:pPr>
      <w:bookmarkStart w:id="227" w:name="_Ref164192482"/>
      <w:r>
        <w:rPr>
          <w:rFonts w:hint="eastAsia"/>
        </w:rPr>
        <w:t>汪磊, 黄金彪, 黄艳青等. 莪术醇对肝星状细胞铁死亡和上皮间质转换作用的研究[J]. 中国临床药理学杂志, 2024, 40(04): 539-543.</w:t>
      </w:r>
      <w:bookmarkEnd w:id="227"/>
    </w:p>
    <w:p>
      <w:pPr>
        <w:pStyle w:val="23"/>
        <w:bidi w:val="0"/>
      </w:pPr>
      <w:bookmarkStart w:id="228" w:name="_Ref161327547"/>
      <w:r>
        <w:t>Jophlin LL, Koutalos Y, Chen C, et al. Hepatic stellate cells retain retinoid-laden lipid droplets after cellular transdifferentiation into activated myofibroblasts[J].</w:t>
      </w:r>
      <w:r>
        <w:rPr>
          <w:i/>
          <w:iCs/>
        </w:rPr>
        <w:t> Am J Physiol Gastrointest Liver Physiol</w:t>
      </w:r>
      <w:r>
        <w:t>. 2018</w:t>
      </w:r>
      <w:r>
        <w:rPr>
          <w:rFonts w:hint="eastAsia"/>
        </w:rPr>
        <w:t xml:space="preserve">, </w:t>
      </w:r>
      <w:r>
        <w:t>315(5):</w:t>
      </w:r>
      <w:r>
        <w:rPr>
          <w:rFonts w:hint="eastAsia"/>
        </w:rPr>
        <w:t xml:space="preserve"> </w:t>
      </w:r>
      <w:r>
        <w:t xml:space="preserve">G713-G721. </w:t>
      </w:r>
      <w:bookmarkEnd w:id="228"/>
    </w:p>
    <w:p>
      <w:pPr>
        <w:pStyle w:val="23"/>
        <w:bidi w:val="0"/>
      </w:pPr>
      <w:bookmarkStart w:id="229" w:name="_Ref164192500"/>
      <w:r>
        <w:rPr>
          <w:rFonts w:hint="eastAsia"/>
        </w:rPr>
        <w:t>曹雨萌, 张荣花, 刘雨潭等. Wnt5a对肝星状细胞增殖、迁移和衰老的调控作用[J]. 医学研究与战创伤救治, 2023, 36(2): 126-134.</w:t>
      </w:r>
      <w:bookmarkEnd w:id="229"/>
    </w:p>
    <w:p>
      <w:pPr>
        <w:pStyle w:val="23"/>
        <w:bidi w:val="0"/>
      </w:pPr>
      <w:bookmarkStart w:id="230" w:name="_Ref164193716"/>
      <w:r>
        <w:rPr>
          <w:rFonts w:hint="eastAsia"/>
        </w:rPr>
        <w:t>陈晓, 周林华, 罗运良. 基于</w:t>
      </w:r>
      <w:r>
        <w:t>TGF-β1</w:t>
      </w:r>
      <w:r>
        <w:rPr>
          <w:rFonts w:hint="eastAsia"/>
        </w:rPr>
        <w:t>/Smad信号通路栀子苷抑制肝星状细胞(HSC)活化的机制研究[J]. 宜春学院学报, 2023, 45(12): 44-51.</w:t>
      </w:r>
      <w:bookmarkEnd w:id="230"/>
    </w:p>
    <w:p>
      <w:pPr>
        <w:pStyle w:val="23"/>
        <w:bidi w:val="0"/>
      </w:pPr>
      <w:bookmarkStart w:id="231" w:name="_Ref164193705"/>
      <w:r>
        <w:rPr>
          <w:rFonts w:hint="eastAsia"/>
        </w:rPr>
        <w:t>王语涵, 许雅萍, 李南等. 肝星状细胞特异性Grk2基因敲除小鼠模型的制备及鉴定[J].中国药理学通报, 2024, 40(01): 189-194.</w:t>
      </w:r>
      <w:bookmarkEnd w:id="231"/>
    </w:p>
    <w:p>
      <w:pPr>
        <w:pStyle w:val="23"/>
        <w:bidi w:val="0"/>
      </w:pPr>
      <w:bookmarkStart w:id="232" w:name="_Ref161331294"/>
      <w:r>
        <w:rPr>
          <w:rFonts w:hint="eastAsia"/>
        </w:rPr>
        <w:t>张君祎. 牛磺鹅去氧胆酸通过Hippo/YAP通路抑制肝星状细胞激活缓解肝脏纤维化[D]. 华中农业大学, 2023.</w:t>
      </w:r>
      <w:bookmarkEnd w:id="232"/>
    </w:p>
    <w:p>
      <w:pPr>
        <w:pStyle w:val="23"/>
        <w:bidi w:val="0"/>
      </w:pPr>
      <w:bookmarkStart w:id="233" w:name="_Ref164193664"/>
      <w:r>
        <w:rPr>
          <w:rFonts w:hint="eastAsia"/>
        </w:rPr>
        <w:t>熊敏莉, 龚晓媛, 万舒淇等.SOX9调控肝星状细胞活化与增殖促进肝纤维化进展[J].肝脏, 2024, 29(02): 174-177+192.</w:t>
      </w:r>
      <w:bookmarkEnd w:id="233"/>
    </w:p>
    <w:p>
      <w:pPr>
        <w:pStyle w:val="23"/>
        <w:bidi w:val="0"/>
      </w:pPr>
      <w:bookmarkStart w:id="234" w:name="_Ref164193648"/>
      <w:r>
        <w:rPr>
          <w:rFonts w:hint="eastAsia"/>
        </w:rPr>
        <w:t>陈飞龙, 赵岩, 杨玉霞等. 以肝星状细胞为靶标的抗肝纤维化治疗进展[J]. 系统医学, 2024, 9(02): 189-193.</w:t>
      </w:r>
      <w:bookmarkEnd w:id="234"/>
    </w:p>
    <w:p>
      <w:pPr>
        <w:pStyle w:val="23"/>
        <w:bidi w:val="0"/>
      </w:pPr>
      <w:bookmarkStart w:id="235" w:name="_Ref164193635"/>
      <w:r>
        <w:rPr>
          <w:rFonts w:hint="eastAsia"/>
        </w:rPr>
        <w:t>赵亚亚, 钟成, 李悦等.</w:t>
      </w:r>
      <w:r>
        <w:t>TGF-β1</w:t>
      </w:r>
      <w:r>
        <w:rPr>
          <w:rFonts w:hint="eastAsia"/>
        </w:rPr>
        <w:t>介导的Smad通路在肾脏纤维化中的作用及机制[J]. 解放军预防医学杂志, 2018, 36(04): 427-430+458.</w:t>
      </w:r>
      <w:bookmarkEnd w:id="235"/>
    </w:p>
    <w:p>
      <w:pPr>
        <w:pStyle w:val="23"/>
        <w:bidi w:val="0"/>
      </w:pPr>
      <w:bookmarkStart w:id="236" w:name="_Ref164193621"/>
      <w:r>
        <w:rPr>
          <w:rFonts w:hint="eastAsia"/>
        </w:rPr>
        <w:t>章圣朋, 何勇, 徐涛等. 夏枯草总三萜调控ERK、</w:t>
      </w:r>
      <w:r>
        <w:t>TGF-β1/</w:t>
      </w:r>
      <w:r>
        <w:rPr>
          <w:rFonts w:hint="eastAsia"/>
        </w:rPr>
        <w:t>Smad通路对肝纤维化大鼠的保护作用研究[J]. 中国药理学通报, 2015, 31(02): 261-266.</w:t>
      </w:r>
      <w:bookmarkEnd w:id="236"/>
    </w:p>
    <w:p>
      <w:pPr>
        <w:pStyle w:val="23"/>
        <w:bidi w:val="0"/>
      </w:pPr>
      <w:bookmarkStart w:id="237" w:name="_Ref164193609"/>
      <w:r>
        <w:rPr>
          <w:rFonts w:hint="eastAsia"/>
        </w:rPr>
        <w:t>吴俣, 刘良丽, 朱晓龙.</w:t>
      </w:r>
      <w:r>
        <w:t>TGF-β1/</w:t>
      </w:r>
      <w:r>
        <w:rPr>
          <w:rFonts w:hint="eastAsia"/>
        </w:rPr>
        <w:t>Smad通路在养肺保元汤治疗慢性阻塞性肺病合并肺间质纤维化中的作用[J]. 海南医学, 2021, 32(02): 137-140.</w:t>
      </w:r>
      <w:bookmarkEnd w:id="237"/>
    </w:p>
    <w:p>
      <w:pPr>
        <w:pStyle w:val="23"/>
        <w:bidi w:val="0"/>
      </w:pPr>
      <w:bookmarkStart w:id="238" w:name="_Ref161318803"/>
      <w:r>
        <w:rPr>
          <w:rFonts w:hint="eastAsia"/>
        </w:rPr>
        <w:t>周鑫, 王智, 何雪茹等. 潜在抗肝纤维化药物与靶点相关信号通路研究进展[J]. 临床肝胆病杂志, 2023, 39(12): 2932-2941.</w:t>
      </w:r>
      <w:bookmarkEnd w:id="238"/>
    </w:p>
    <w:p>
      <w:pPr>
        <w:pStyle w:val="23"/>
        <w:bidi w:val="0"/>
      </w:pPr>
      <w:bookmarkStart w:id="239" w:name="_Ref164193918"/>
      <w:r>
        <w:rPr>
          <w:rFonts w:hint="eastAsia"/>
        </w:rPr>
        <w:t>章圣朋, 何勇, 徐涛等. 夏枯草总三萜调控ERK、</w:t>
      </w:r>
      <w:r>
        <w:t>TGF-β1</w:t>
      </w:r>
      <w:r>
        <w:rPr>
          <w:rFonts w:hint="eastAsia"/>
        </w:rPr>
        <w:t>/Smad通路对肝纤维化大鼠的保护作用研究[J]. 中国药理学通报, 2015, 31(02): 261-266.</w:t>
      </w:r>
      <w:bookmarkEnd w:id="239"/>
    </w:p>
    <w:p>
      <w:pPr>
        <w:pStyle w:val="23"/>
        <w:bidi w:val="0"/>
      </w:pPr>
      <w:bookmarkStart w:id="240" w:name="_Ref164193920"/>
      <w:r>
        <w:rPr>
          <w:rFonts w:hint="eastAsia"/>
        </w:rPr>
        <w:t>杨珣, 邵松军, 崔妙雅, 等. 抑制T</w:t>
      </w:r>
      <w:r>
        <w:t>GF-β1</w:t>
      </w:r>
      <w:r>
        <w:rPr>
          <w:rFonts w:hint="eastAsia"/>
        </w:rPr>
        <w:t xml:space="preserve">/Smads通路中Smad7泛素化降解改善小鼠肺纤维化的作用机制[J]. 山东医药, 2022, 62(17): 47-51. </w:t>
      </w:r>
      <w:bookmarkEnd w:id="240"/>
    </w:p>
    <w:p>
      <w:pPr>
        <w:pStyle w:val="23"/>
        <w:bidi w:val="0"/>
      </w:pPr>
      <w:bookmarkStart w:id="241" w:name="_Ref164246392"/>
      <w:r>
        <w:t>Angelozzi M, de Charleroy CR, Lefebvre V. EdU-Based Assay of Cell Proliferation and Stem Cell Quiescence in Skeletal Tissue Sections</w:t>
      </w:r>
      <w:r>
        <w:rPr>
          <w:rFonts w:hint="eastAsia"/>
        </w:rPr>
        <w:t>[J]</w:t>
      </w:r>
      <w:r>
        <w:t>. </w:t>
      </w:r>
      <w:r>
        <w:rPr>
          <w:i/>
          <w:iCs/>
        </w:rPr>
        <w:t>Methods Mol Biol</w:t>
      </w:r>
      <w:r>
        <w:t xml:space="preserve">. 2021,2230:357-365. </w:t>
      </w:r>
      <w:bookmarkEnd w:id="241"/>
      <w:r>
        <w:t xml:space="preserve"> </w:t>
      </w:r>
    </w:p>
    <w:p>
      <w:pPr>
        <w:pStyle w:val="23"/>
        <w:bidi w:val="0"/>
      </w:pPr>
      <w:bookmarkStart w:id="242" w:name="_Ref164246401"/>
      <w:r>
        <w:rPr>
          <w:rFonts w:hint="eastAsia"/>
        </w:rPr>
        <w:t>Dai C, Yusuf A, Sun H</w:t>
      </w:r>
      <w:r>
        <w:t>, et al</w:t>
      </w:r>
      <w:r>
        <w:rPr>
          <w:rFonts w:hint="eastAsia"/>
        </w:rPr>
        <w:t>. A characterized saponin extract of Panax japonicus suppresses hepatocyte EMT and HSC activation in vitro and CCl4-provoked liver fibrosis in mice: Roles of its modulatory effects on the Akt/GSK3</w:t>
      </w:r>
      <w:r>
        <w:t>β</w:t>
      </w:r>
      <w:r>
        <w:rPr>
          <w:rFonts w:hint="eastAsia"/>
        </w:rPr>
        <w:t xml:space="preserve">/Nrf2 cascade[J]. Phytomedicine. 2021, 93: 153746. </w:t>
      </w:r>
      <w:bookmarkEnd w:id="242"/>
    </w:p>
    <w:p>
      <w:pPr>
        <w:pStyle w:val="23"/>
        <w:numPr>
          <w:ilvl w:val="0"/>
          <w:numId w:val="1"/>
        </w:numPr>
        <w:tabs>
          <w:tab w:val="clear" w:pos="420"/>
        </w:tabs>
        <w:bidi w:val="0"/>
      </w:pPr>
      <w:r>
        <w:rPr>
          <w:rFonts w:hint="eastAsia"/>
        </w:rPr>
        <w:t>Köktürk M, Altındağ F.</w:t>
      </w:r>
      <w:r>
        <w:rPr>
          <w:rFonts w:hint="default"/>
          <w:lang w:val="en-US"/>
        </w:rPr>
        <w:t xml:space="preserve"> </w:t>
      </w:r>
      <w:r>
        <w:rPr>
          <w:rFonts w:hint="eastAsia"/>
        </w:rPr>
        <w:t xml:space="preserve">Whole-Mount Immunohistochemical and Immunofluorescence Assays in Zebrafish Embryos[J]. </w:t>
      </w:r>
      <w:r>
        <w:rPr>
          <w:rFonts w:hint="eastAsia"/>
          <w:i/>
          <w:iCs/>
        </w:rPr>
        <w:t>Methods Mol Biol</w:t>
      </w:r>
      <w:r>
        <w:rPr>
          <w:rFonts w:hint="eastAsia"/>
        </w:rPr>
        <w:t>. 2024</w:t>
      </w:r>
      <w:r>
        <w:rPr>
          <w:rFonts w:hint="default"/>
          <w:lang w:val="en-US"/>
        </w:rPr>
        <w:t xml:space="preserve">, </w:t>
      </w:r>
      <w:r>
        <w:rPr>
          <w:rFonts w:hint="eastAsia"/>
        </w:rPr>
        <w:t>2753:</w:t>
      </w:r>
      <w:r>
        <w:rPr>
          <w:rFonts w:hint="default"/>
          <w:lang w:val="en-US"/>
        </w:rPr>
        <w:t xml:space="preserve"> </w:t>
      </w:r>
      <w:r>
        <w:rPr>
          <w:rFonts w:hint="eastAsia"/>
        </w:rPr>
        <w:t xml:space="preserve">403-407. </w:t>
      </w:r>
    </w:p>
    <w:p>
      <w:pPr>
        <w:pStyle w:val="23"/>
        <w:bidi w:val="0"/>
      </w:pPr>
      <w:bookmarkStart w:id="243" w:name="_Ref164246247"/>
      <w:r>
        <w:rPr>
          <w:rFonts w:hint="eastAsia"/>
        </w:rPr>
        <w:t>孙素红, 周晓玲, 李泽鹏等. 柴胡当归散加减联合穴位注射丹参注射液治疗乙肝肝纤维化临床观察[J]. 陕西中医, 2024, 45(04): 477-480+489.</w:t>
      </w:r>
      <w:bookmarkEnd w:id="243"/>
    </w:p>
    <w:p>
      <w:pPr>
        <w:pStyle w:val="23"/>
        <w:bidi w:val="0"/>
      </w:pPr>
      <w:bookmarkStart w:id="244" w:name="_Ref164246262"/>
      <w:r>
        <w:t>Dhar D, Baglieri J, Kisseleva T, et al. Mechanisms of liver fibrosis and its role in liver cancer</w:t>
      </w:r>
      <w:r>
        <w:rPr>
          <w:rFonts w:hint="eastAsia"/>
        </w:rPr>
        <w:t>[J]</w:t>
      </w:r>
      <w:r>
        <w:t xml:space="preserve">. </w:t>
      </w:r>
      <w:r>
        <w:rPr>
          <w:i/>
          <w:iCs/>
        </w:rPr>
        <w:t>Exp Biol Med (Maywood)</w:t>
      </w:r>
      <w:r>
        <w:t>. 2020</w:t>
      </w:r>
      <w:r>
        <w:rPr>
          <w:rFonts w:hint="eastAsia"/>
        </w:rPr>
        <w:t xml:space="preserve">, </w:t>
      </w:r>
      <w:r>
        <w:t>245(2):</w:t>
      </w:r>
      <w:r>
        <w:rPr>
          <w:rFonts w:hint="eastAsia"/>
        </w:rPr>
        <w:t xml:space="preserve"> </w:t>
      </w:r>
      <w:r>
        <w:t xml:space="preserve">96-108. </w:t>
      </w:r>
      <w:bookmarkEnd w:id="244"/>
    </w:p>
    <w:p>
      <w:pPr>
        <w:pStyle w:val="23"/>
        <w:bidi w:val="0"/>
      </w:pPr>
      <w:bookmarkStart w:id="245" w:name="_Ref15128"/>
      <w:r>
        <w:rPr>
          <w:rFonts w:hint="eastAsia"/>
        </w:rPr>
        <w:t>周冬艳, 陈双娅, 何萍等. 特异性阻断成纤维细胞生长因子受体信号抑制肝星状细胞激活改善小鼠肝纤维化[J]. 温州医科大学学报, 2023, 53(08): 603-612.</w:t>
      </w:r>
      <w:bookmarkEnd w:id="245"/>
    </w:p>
    <w:p>
      <w:pPr>
        <w:pStyle w:val="23"/>
        <w:bidi w:val="0"/>
      </w:pPr>
      <w:bookmarkStart w:id="246" w:name="_Ref164363248"/>
      <w:r>
        <w:rPr>
          <w:rFonts w:hint="eastAsia"/>
        </w:rPr>
        <w:t>董雨桐. 基于肝星状细胞及肝细胞的转录组和蛋白质组学探索肝纤维化机制[D]. 吉林大学, 2023.</w:t>
      </w:r>
      <w:bookmarkEnd w:id="246"/>
    </w:p>
    <w:p>
      <w:pPr>
        <w:pStyle w:val="23"/>
        <w:bidi w:val="0"/>
      </w:pPr>
      <w:bookmarkStart w:id="247" w:name="_Ref164246274"/>
      <w:r>
        <w:rPr>
          <w:rFonts w:hint="eastAsia"/>
        </w:rPr>
        <w:t>张春洋, 陈付群, 陈兆云. 维生素D抑制肝星状细胞活化在肝纤维化中的研究进展[J]. 新医学, 2023, 54(11): 775-778.</w:t>
      </w:r>
      <w:bookmarkEnd w:id="247"/>
    </w:p>
    <w:p>
      <w:pPr>
        <w:pStyle w:val="23"/>
        <w:bidi w:val="0"/>
      </w:pPr>
      <w:bookmarkStart w:id="248" w:name="_Ref23115"/>
      <w:r>
        <w:rPr>
          <w:rFonts w:hint="eastAsia" w:ascii="宋体" w:hAnsi="宋体"/>
        </w:rPr>
        <w:t>陈欣怡</w:t>
      </w:r>
      <w:r>
        <w:t>,</w:t>
      </w:r>
      <w:r>
        <w:rPr>
          <w:rFonts w:hint="eastAsia"/>
        </w:rPr>
        <w:t xml:space="preserve"> </w:t>
      </w:r>
      <w:r>
        <w:rPr>
          <w:rFonts w:hint="eastAsia" w:ascii="宋体" w:hAnsi="宋体"/>
        </w:rPr>
        <w:t>严得刚</w:t>
      </w:r>
      <w:r>
        <w:t>,</w:t>
      </w:r>
      <w:r>
        <w:rPr>
          <w:rFonts w:hint="eastAsia"/>
        </w:rPr>
        <w:t xml:space="preserve"> </w:t>
      </w:r>
      <w:r>
        <w:rPr>
          <w:rFonts w:hint="eastAsia" w:ascii="宋体" w:hAnsi="宋体"/>
        </w:rPr>
        <w:t>梁宏等</w:t>
      </w:r>
      <w:r>
        <w:t>.</w:t>
      </w:r>
      <w:r>
        <w:rPr>
          <w:rFonts w:hint="eastAsia"/>
        </w:rPr>
        <w:t xml:space="preserve"> </w:t>
      </w:r>
      <w:r>
        <w:t>TGF-β1</w:t>
      </w:r>
      <w:r>
        <w:rPr>
          <w:rFonts w:hint="eastAsia" w:ascii="宋体" w:hAnsi="宋体"/>
        </w:rPr>
        <w:t>和</w:t>
      </w:r>
      <w:r>
        <w:t>Collagen-Ⅲ</w:t>
      </w:r>
      <w:r>
        <w:rPr>
          <w:rFonts w:hint="eastAsia" w:ascii="宋体" w:hAnsi="宋体"/>
        </w:rPr>
        <w:t>在牦牛感染细粒棘球蚴肝纤维化中的表达</w:t>
      </w:r>
      <w:bookmarkStart w:id="249" w:name="OLE_LINK1"/>
      <w:r>
        <w:t>[J]</w:t>
      </w:r>
      <w:bookmarkEnd w:id="249"/>
      <w:r>
        <w:t>.</w:t>
      </w:r>
      <w:r>
        <w:rPr>
          <w:rFonts w:hint="eastAsia"/>
        </w:rPr>
        <w:t xml:space="preserve"> </w:t>
      </w:r>
      <w:r>
        <w:rPr>
          <w:rFonts w:hint="eastAsia" w:ascii="宋体" w:hAnsi="宋体"/>
        </w:rPr>
        <w:t>动物医学进展</w:t>
      </w:r>
      <w:r>
        <w:t>,</w:t>
      </w:r>
      <w:r>
        <w:rPr>
          <w:rFonts w:hint="eastAsia"/>
        </w:rPr>
        <w:t xml:space="preserve"> </w:t>
      </w:r>
      <w:r>
        <w:t>2024,</w:t>
      </w:r>
      <w:r>
        <w:rPr>
          <w:rFonts w:hint="eastAsia"/>
        </w:rPr>
        <w:t xml:space="preserve"> </w:t>
      </w:r>
      <w:r>
        <w:t>45(04):</w:t>
      </w:r>
      <w:r>
        <w:rPr>
          <w:rFonts w:hint="eastAsia"/>
        </w:rPr>
        <w:t xml:space="preserve"> </w:t>
      </w:r>
      <w:r>
        <w:t>45-50</w:t>
      </w:r>
      <w:r>
        <w:rPr>
          <w:rFonts w:hint="eastAsia"/>
          <w:lang w:val="en-US" w:eastAsia="zh-CN"/>
        </w:rPr>
        <w:t xml:space="preserve">. </w:t>
      </w:r>
      <w:bookmarkEnd w:id="248"/>
    </w:p>
    <w:p>
      <w:pPr>
        <w:pStyle w:val="23"/>
        <w:bidi w:val="0"/>
      </w:pPr>
      <w:bookmarkStart w:id="250" w:name="_Ref18777"/>
      <w:r>
        <w:rPr>
          <w:rFonts w:hint="eastAsia"/>
        </w:rPr>
        <w:t>Ge MX, Niu WX, Bao YY, Lu ZN, He HW. Sclareol attenuates liver fibrosis through SENP1-mediated VEGFR2 SUMOylation and inhibition of downstream STAT3 signaling</w:t>
      </w:r>
      <w:r>
        <w:t>[J]</w:t>
      </w:r>
      <w:r>
        <w:rPr>
          <w:rFonts w:hint="eastAsia"/>
        </w:rPr>
        <w:t xml:space="preserve">. </w:t>
      </w:r>
      <w:r>
        <w:rPr>
          <w:rFonts w:hint="eastAsia"/>
          <w:i/>
          <w:iCs/>
        </w:rPr>
        <w:t>Phytother Res</w:t>
      </w:r>
      <w:r>
        <w:rPr>
          <w:rFonts w:hint="eastAsia"/>
        </w:rPr>
        <w:t>. 2023</w:t>
      </w:r>
      <w:r>
        <w:rPr>
          <w:rFonts w:hint="eastAsia"/>
          <w:lang w:val="en-US" w:eastAsia="zh-CN"/>
        </w:rPr>
        <w:t xml:space="preserve">, </w:t>
      </w:r>
      <w:r>
        <w:rPr>
          <w:rFonts w:hint="eastAsia"/>
        </w:rPr>
        <w:t>37(9):</w:t>
      </w:r>
      <w:r>
        <w:rPr>
          <w:rFonts w:hint="eastAsia"/>
          <w:lang w:val="en-US" w:eastAsia="zh-CN"/>
        </w:rPr>
        <w:t xml:space="preserve"> </w:t>
      </w:r>
      <w:r>
        <w:rPr>
          <w:rFonts w:hint="eastAsia"/>
        </w:rPr>
        <w:t xml:space="preserve">3898-3912. </w:t>
      </w:r>
      <w:bookmarkEnd w:id="250"/>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pPr>
                      <w:pStyle w:val="9"/>
                      <w:ind w:firstLine="360"/>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7BC5CA"/>
    <w:multiLevelType w:val="multilevel"/>
    <w:tmpl w:val="8C7BC5CA"/>
    <w:lvl w:ilvl="0" w:tentative="0">
      <w:start w:val="1"/>
      <w:numFmt w:val="decimal"/>
      <w:suff w:val="space"/>
      <w:lvlText w:val="%1"/>
      <w:lvlJc w:val="left"/>
      <w:pPr>
        <w:ind w:left="0" w:firstLine="0"/>
      </w:pPr>
      <w:rPr>
        <w:rFonts w:hint="default"/>
      </w:rPr>
    </w:lvl>
    <w:lvl w:ilvl="1" w:tentative="0">
      <w:start w:val="1"/>
      <w:numFmt w:val="decimal"/>
      <w:lvlText w:val="%1.%2"/>
      <w:lvlJc w:val="left"/>
      <w:pPr>
        <w:ind w:left="567" w:hanging="567"/>
      </w:pPr>
      <w:rPr>
        <w:rFonts w:hint="default"/>
      </w:rPr>
    </w:lvl>
    <w:lvl w:ilvl="2" w:tentative="0">
      <w:start w:val="1"/>
      <w:numFmt w:val="decimal"/>
      <w:pStyle w:val="33"/>
      <w:suff w:val="nothing"/>
      <w:lvlText w:val="%1.%2.%3"/>
      <w:lvlJc w:val="left"/>
      <w:pPr>
        <w:tabs>
          <w:tab w:val="left" w:pos="420"/>
        </w:tabs>
        <w:ind w:left="709" w:hanging="709"/>
      </w:pPr>
      <w:rPr>
        <w:rFonts w:hint="default"/>
      </w:rPr>
    </w:lvl>
    <w:lvl w:ilvl="3" w:tentative="0">
      <w:start w:val="1"/>
      <w:numFmt w:val="decimal"/>
      <w:lvlText w:val="%1.%2.%3.%4"/>
      <w:lvlJc w:val="left"/>
      <w:pPr>
        <w:tabs>
          <w:tab w:val="left" w:pos="420"/>
        </w:tabs>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C22EDECF"/>
    <w:multiLevelType w:val="singleLevel"/>
    <w:tmpl w:val="C22EDECF"/>
    <w:lvl w:ilvl="0" w:tentative="0">
      <w:start w:val="1"/>
      <w:numFmt w:val="decimal"/>
      <w:suff w:val="nothing"/>
      <w:lvlText w:val="（%1）"/>
      <w:lvlJc w:val="left"/>
    </w:lvl>
  </w:abstractNum>
  <w:abstractNum w:abstractNumId="2">
    <w:nsid w:val="E16FDAD2"/>
    <w:multiLevelType w:val="multilevel"/>
    <w:tmpl w:val="E16FDAD2"/>
    <w:lvl w:ilvl="0" w:tentative="0">
      <w:start w:val="1"/>
      <w:numFmt w:val="decimal"/>
      <w:pStyle w:val="23"/>
      <w:lvlText w:val="[%1]"/>
      <w:lvlJc w:val="left"/>
      <w:pPr>
        <w:tabs>
          <w:tab w:val="left" w:pos="420"/>
        </w:tabs>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doNotBreakWrappedTables/>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Q4ODlhODFmOGQ3NTMzZDFmNmNkZDAzNDZiNDhkMjYifQ=="/>
  </w:docVars>
  <w:rsids>
    <w:rsidRoot w:val="00000000"/>
    <w:rsid w:val="22A86068"/>
    <w:rsid w:val="7E9963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2"/>
      <w:sz w:val="21"/>
      <w:szCs w:val="21"/>
      <w:lang w:val="en-US" w:eastAsia="zh-CN" w:bidi="ar-SA"/>
    </w:rPr>
  </w:style>
  <w:style w:type="paragraph" w:styleId="2">
    <w:name w:val="heading 1"/>
    <w:basedOn w:val="1"/>
    <w:next w:val="1"/>
    <w:link w:val="35"/>
    <w:autoRedefine/>
    <w:qFormat/>
    <w:uiPriority w:val="9"/>
    <w:pPr>
      <w:keepNext/>
      <w:keepLines/>
      <w:spacing w:before="10" w:after="10"/>
      <w:outlineLvl w:val="0"/>
    </w:pPr>
    <w:rPr>
      <w:rFonts w:eastAsia="黑体"/>
      <w:bCs/>
      <w:kern w:val="44"/>
      <w:sz w:val="28"/>
      <w:szCs w:val="44"/>
    </w:rPr>
  </w:style>
  <w:style w:type="paragraph" w:styleId="3">
    <w:name w:val="heading 2"/>
    <w:basedOn w:val="1"/>
    <w:next w:val="1"/>
    <w:link w:val="29"/>
    <w:autoRedefine/>
    <w:unhideWhenUsed/>
    <w:qFormat/>
    <w:uiPriority w:val="99"/>
    <w:pPr>
      <w:keepNext/>
      <w:keepLines/>
      <w:outlineLvl w:val="1"/>
    </w:pPr>
    <w:rPr>
      <w:rFonts w:eastAsia="黑体" w:asciiTheme="majorHAnsi" w:hAnsiTheme="majorHAnsi" w:cstheme="majorBidi"/>
      <w:bCs/>
      <w:sz w:val="24"/>
      <w:szCs w:val="32"/>
    </w:rPr>
  </w:style>
  <w:style w:type="paragraph" w:styleId="4">
    <w:name w:val="heading 3"/>
    <w:basedOn w:val="1"/>
    <w:next w:val="1"/>
    <w:autoRedefine/>
    <w:unhideWhenUsed/>
    <w:qFormat/>
    <w:uiPriority w:val="9"/>
    <w:pPr>
      <w:keepNext/>
      <w:keepLines/>
      <w:outlineLvl w:val="2"/>
    </w:pPr>
    <w:rPr>
      <w:rFonts w:eastAsia="黑体"/>
    </w:rPr>
  </w:style>
  <w:style w:type="character" w:default="1" w:styleId="18">
    <w:name w:val="Default Paragraph Font"/>
    <w:autoRedefine/>
    <w:unhideWhenUsed/>
    <w:qFormat/>
    <w:uiPriority w:val="1"/>
  </w:style>
  <w:style w:type="table" w:default="1" w:styleId="15">
    <w:name w:val="Normal Table"/>
    <w:autoRedefine/>
    <w:unhideWhenUsed/>
    <w:qFormat/>
    <w:uiPriority w:val="99"/>
    <w:tblPr>
      <w:tblCellMar>
        <w:top w:w="0" w:type="dxa"/>
        <w:left w:w="108" w:type="dxa"/>
        <w:bottom w:w="0" w:type="dxa"/>
        <w:right w:w="108" w:type="dxa"/>
      </w:tblCellMar>
    </w:tblPr>
  </w:style>
  <w:style w:type="paragraph" w:styleId="5">
    <w:name w:val="annotation text"/>
    <w:basedOn w:val="1"/>
    <w:link w:val="36"/>
    <w:autoRedefine/>
    <w:unhideWhenUsed/>
    <w:qFormat/>
    <w:uiPriority w:val="99"/>
  </w:style>
  <w:style w:type="paragraph" w:styleId="6">
    <w:name w:val="toc 3"/>
    <w:basedOn w:val="1"/>
    <w:next w:val="1"/>
    <w:autoRedefine/>
    <w:qFormat/>
    <w:uiPriority w:val="39"/>
    <w:pPr>
      <w:ind w:left="840" w:leftChars="400"/>
    </w:pPr>
    <w:rPr>
      <w:szCs w:val="20"/>
    </w:rPr>
  </w:style>
  <w:style w:type="paragraph" w:styleId="7">
    <w:name w:val="Date"/>
    <w:basedOn w:val="1"/>
    <w:next w:val="1"/>
    <w:link w:val="31"/>
    <w:autoRedefine/>
    <w:unhideWhenUsed/>
    <w:qFormat/>
    <w:uiPriority w:val="99"/>
    <w:pPr>
      <w:ind w:left="100" w:leftChars="2500"/>
    </w:pPr>
  </w:style>
  <w:style w:type="paragraph" w:styleId="8">
    <w:name w:val="Balloon Text"/>
    <w:basedOn w:val="1"/>
    <w:link w:val="25"/>
    <w:autoRedefine/>
    <w:unhideWhenUsed/>
    <w:qFormat/>
    <w:uiPriority w:val="99"/>
    <w:rPr>
      <w:sz w:val="18"/>
      <w:szCs w:val="18"/>
    </w:rPr>
  </w:style>
  <w:style w:type="paragraph" w:styleId="9">
    <w:name w:val="footer"/>
    <w:basedOn w:val="1"/>
    <w:link w:val="27"/>
    <w:autoRedefine/>
    <w:unhideWhenUsed/>
    <w:qFormat/>
    <w:uiPriority w:val="0"/>
    <w:pPr>
      <w:tabs>
        <w:tab w:val="center" w:pos="4153"/>
        <w:tab w:val="right" w:pos="8306"/>
      </w:tabs>
      <w:snapToGrid w:val="0"/>
    </w:pPr>
    <w:rPr>
      <w:sz w:val="18"/>
      <w:szCs w:val="18"/>
    </w:rPr>
  </w:style>
  <w:style w:type="paragraph" w:styleId="10">
    <w:name w:val="header"/>
    <w:basedOn w:val="1"/>
    <w:link w:val="26"/>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autoRedefine/>
    <w:qFormat/>
    <w:uiPriority w:val="39"/>
    <w:rPr>
      <w:szCs w:val="20"/>
    </w:rPr>
  </w:style>
  <w:style w:type="paragraph" w:styleId="12">
    <w:name w:val="footnote text"/>
    <w:basedOn w:val="1"/>
    <w:link w:val="24"/>
    <w:autoRedefine/>
    <w:unhideWhenUsed/>
    <w:qFormat/>
    <w:uiPriority w:val="99"/>
    <w:pPr>
      <w:snapToGrid w:val="0"/>
    </w:pPr>
    <w:rPr>
      <w:sz w:val="18"/>
      <w:szCs w:val="18"/>
    </w:rPr>
  </w:style>
  <w:style w:type="paragraph" w:styleId="13">
    <w:name w:val="toc 2"/>
    <w:basedOn w:val="1"/>
    <w:next w:val="1"/>
    <w:autoRedefine/>
    <w:qFormat/>
    <w:uiPriority w:val="39"/>
    <w:pPr>
      <w:ind w:left="420" w:leftChars="200"/>
    </w:pPr>
    <w:rPr>
      <w:szCs w:val="20"/>
    </w:rPr>
  </w:style>
  <w:style w:type="paragraph" w:styleId="14">
    <w:name w:val="annotation subject"/>
    <w:basedOn w:val="5"/>
    <w:next w:val="5"/>
    <w:link w:val="37"/>
    <w:autoRedefine/>
    <w:unhideWhenUsed/>
    <w:qFormat/>
    <w:uiPriority w:val="99"/>
    <w:rPr>
      <w:b/>
      <w:bCs/>
    </w:rPr>
  </w:style>
  <w:style w:type="table" w:styleId="16">
    <w:name w:val="Table Grid"/>
    <w:basedOn w:val="15"/>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7">
    <w:name w:val="Light Shading"/>
    <w:basedOn w:val="15"/>
    <w:autoRedefine/>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styleId="19">
    <w:name w:val="Emphasis"/>
    <w:basedOn w:val="18"/>
    <w:autoRedefine/>
    <w:qFormat/>
    <w:uiPriority w:val="20"/>
    <w:rPr>
      <w:i/>
      <w:iCs/>
    </w:rPr>
  </w:style>
  <w:style w:type="character" w:styleId="20">
    <w:name w:val="Hyperlink"/>
    <w:basedOn w:val="18"/>
    <w:autoRedefine/>
    <w:unhideWhenUsed/>
    <w:qFormat/>
    <w:uiPriority w:val="99"/>
    <w:rPr>
      <w:color w:val="0000FF"/>
      <w:u w:val="single"/>
    </w:rPr>
  </w:style>
  <w:style w:type="character" w:styleId="21">
    <w:name w:val="annotation reference"/>
    <w:basedOn w:val="18"/>
    <w:autoRedefine/>
    <w:unhideWhenUsed/>
    <w:qFormat/>
    <w:uiPriority w:val="99"/>
    <w:rPr>
      <w:sz w:val="21"/>
      <w:szCs w:val="21"/>
    </w:rPr>
  </w:style>
  <w:style w:type="character" w:styleId="22">
    <w:name w:val="footnote reference"/>
    <w:basedOn w:val="18"/>
    <w:autoRedefine/>
    <w:unhideWhenUsed/>
    <w:qFormat/>
    <w:uiPriority w:val="99"/>
    <w:rPr>
      <w:vertAlign w:val="superscript"/>
    </w:rPr>
  </w:style>
  <w:style w:type="paragraph" w:customStyle="1" w:styleId="23">
    <w:name w:val="列出段落1"/>
    <w:basedOn w:val="1"/>
    <w:autoRedefine/>
    <w:qFormat/>
    <w:uiPriority w:val="34"/>
    <w:pPr>
      <w:numPr>
        <w:ilvl w:val="0"/>
        <w:numId w:val="1"/>
      </w:numPr>
      <w:jc w:val="both"/>
    </w:pPr>
  </w:style>
  <w:style w:type="character" w:customStyle="1" w:styleId="24">
    <w:name w:val="脚注文本 Char"/>
    <w:basedOn w:val="18"/>
    <w:link w:val="12"/>
    <w:autoRedefine/>
    <w:semiHidden/>
    <w:qFormat/>
    <w:uiPriority w:val="99"/>
    <w:rPr>
      <w:sz w:val="18"/>
      <w:szCs w:val="18"/>
    </w:rPr>
  </w:style>
  <w:style w:type="character" w:customStyle="1" w:styleId="25">
    <w:name w:val="批注框文本 Char"/>
    <w:basedOn w:val="18"/>
    <w:link w:val="8"/>
    <w:autoRedefine/>
    <w:semiHidden/>
    <w:qFormat/>
    <w:uiPriority w:val="99"/>
    <w:rPr>
      <w:sz w:val="18"/>
      <w:szCs w:val="18"/>
    </w:rPr>
  </w:style>
  <w:style w:type="character" w:customStyle="1" w:styleId="26">
    <w:name w:val="页眉 Char"/>
    <w:basedOn w:val="18"/>
    <w:link w:val="10"/>
    <w:autoRedefine/>
    <w:qFormat/>
    <w:uiPriority w:val="99"/>
    <w:rPr>
      <w:sz w:val="18"/>
      <w:szCs w:val="18"/>
    </w:rPr>
  </w:style>
  <w:style w:type="character" w:customStyle="1" w:styleId="27">
    <w:name w:val="页脚 Char"/>
    <w:basedOn w:val="18"/>
    <w:link w:val="9"/>
    <w:autoRedefine/>
    <w:qFormat/>
    <w:uiPriority w:val="0"/>
    <w:rPr>
      <w:sz w:val="18"/>
      <w:szCs w:val="18"/>
    </w:rPr>
  </w:style>
  <w:style w:type="character" w:customStyle="1" w:styleId="28">
    <w:name w:val="标题 1 Char"/>
    <w:basedOn w:val="18"/>
    <w:autoRedefine/>
    <w:qFormat/>
    <w:uiPriority w:val="9"/>
    <w:rPr>
      <w:rFonts w:eastAsia="黑体"/>
      <w:bCs/>
      <w:kern w:val="44"/>
      <w:sz w:val="28"/>
      <w:szCs w:val="44"/>
    </w:rPr>
  </w:style>
  <w:style w:type="character" w:customStyle="1" w:styleId="29">
    <w:name w:val="标题 2 Char"/>
    <w:link w:val="3"/>
    <w:autoRedefine/>
    <w:qFormat/>
    <w:uiPriority w:val="99"/>
    <w:rPr>
      <w:rFonts w:eastAsia="黑体" w:asciiTheme="majorHAnsi" w:hAnsiTheme="majorHAnsi" w:cstheme="majorBidi"/>
      <w:bCs/>
      <w:kern w:val="2"/>
      <w:sz w:val="24"/>
      <w:szCs w:val="32"/>
    </w:rPr>
  </w:style>
  <w:style w:type="character" w:customStyle="1" w:styleId="30">
    <w:name w:val="html-italic"/>
    <w:basedOn w:val="18"/>
    <w:autoRedefine/>
    <w:qFormat/>
    <w:uiPriority w:val="0"/>
  </w:style>
  <w:style w:type="character" w:customStyle="1" w:styleId="31">
    <w:name w:val="日期 Char"/>
    <w:basedOn w:val="18"/>
    <w:link w:val="7"/>
    <w:autoRedefine/>
    <w:semiHidden/>
    <w:qFormat/>
    <w:uiPriority w:val="99"/>
    <w:rPr>
      <w:rFonts w:ascii="Times New Roman" w:hAnsi="Times New Roman" w:eastAsia="宋体" w:cs="Times New Roman"/>
      <w:szCs w:val="21"/>
    </w:rPr>
  </w:style>
  <w:style w:type="character" w:customStyle="1" w:styleId="32">
    <w:name w:val="author-sup-separator"/>
    <w:basedOn w:val="18"/>
    <w:autoRedefine/>
    <w:qFormat/>
    <w:uiPriority w:val="0"/>
  </w:style>
  <w:style w:type="paragraph" w:customStyle="1" w:styleId="33">
    <w:name w:val="List Paragraph"/>
    <w:basedOn w:val="1"/>
    <w:autoRedefine/>
    <w:unhideWhenUsed/>
    <w:qFormat/>
    <w:uiPriority w:val="99"/>
    <w:pPr>
      <w:numPr>
        <w:ilvl w:val="2"/>
        <w:numId w:val="2"/>
      </w:numPr>
    </w:pPr>
  </w:style>
  <w:style w:type="paragraph" w:customStyle="1" w:styleId="34">
    <w:name w:val="正文1"/>
    <w:autoRedefine/>
    <w:qFormat/>
    <w:uiPriority w:val="0"/>
    <w:pPr>
      <w:jc w:val="both"/>
    </w:pPr>
    <w:rPr>
      <w:rFonts w:ascii="Times New Roman" w:hAnsi="Times New Roman" w:eastAsia="宋体" w:cs="Times New Roman"/>
      <w:kern w:val="2"/>
      <w:sz w:val="21"/>
      <w:szCs w:val="21"/>
      <w:lang w:val="en-US" w:eastAsia="zh-CN" w:bidi="ar-SA"/>
    </w:rPr>
  </w:style>
  <w:style w:type="character" w:customStyle="1" w:styleId="35">
    <w:name w:val="标题 1 Char1"/>
    <w:link w:val="2"/>
    <w:autoRedefine/>
    <w:qFormat/>
    <w:uiPriority w:val="0"/>
    <w:rPr>
      <w:rFonts w:ascii="Times New Roman" w:hAnsi="Times New Roman" w:eastAsia="黑体"/>
      <w:kern w:val="44"/>
      <w:sz w:val="28"/>
      <w:szCs w:val="28"/>
    </w:rPr>
  </w:style>
  <w:style w:type="character" w:customStyle="1" w:styleId="36">
    <w:name w:val="批注文字 Char"/>
    <w:basedOn w:val="18"/>
    <w:link w:val="5"/>
    <w:autoRedefine/>
    <w:qFormat/>
    <w:uiPriority w:val="99"/>
    <w:rPr>
      <w:kern w:val="2"/>
      <w:sz w:val="21"/>
      <w:szCs w:val="21"/>
    </w:rPr>
  </w:style>
  <w:style w:type="character" w:customStyle="1" w:styleId="37">
    <w:name w:val="批注主题 Char"/>
    <w:basedOn w:val="36"/>
    <w:link w:val="14"/>
    <w:autoRedefine/>
    <w:semiHidden/>
    <w:qFormat/>
    <w:uiPriority w:val="99"/>
    <w:rPr>
      <w:b/>
      <w:bCs/>
      <w:kern w:val="2"/>
      <w:sz w:val="21"/>
      <w:szCs w:val="21"/>
    </w:rPr>
  </w:style>
  <w:style w:type="paragraph" w:customStyle="1" w:styleId="38">
    <w:name w:val="Revision"/>
    <w:autoRedefine/>
    <w:hidden/>
    <w:unhideWhenUsed/>
    <w:qFormat/>
    <w:uiPriority w:val="99"/>
    <w:rPr>
      <w:rFonts w:ascii="Times New Roman" w:hAnsi="Times New Roman" w:eastAsia="宋体" w:cs="Times New Roman"/>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emf"/><Relationship Id="rId7" Type="http://schemas.openxmlformats.org/officeDocument/2006/relationships/oleObject" Target="embeddings/oleObject2.bin"/><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4594</Words>
  <Characters>26189</Characters>
  <Lines>218</Lines>
  <Paragraphs>61</Paragraphs>
  <TotalTime>0</TotalTime>
  <ScaleCrop>false</ScaleCrop>
  <LinksUpToDate>false</LinksUpToDate>
  <CharactersWithSpaces>30722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2024-03-11T23:50:00Z</dcterms:created>
  <dc:creator>凉汐</dc:creator>
  <cp:lastModifiedBy>崔帆</cp:lastModifiedBy>
  <dcterms:modified xsi:type="dcterms:W3CDTF">2024-04-23T01:23:29Z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EA1527B641314B7895BD246172B0DF40_13</vt:lpwstr>
  </property>
</Properties>
</file>