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黑体"/>
          <w:b/>
          <w:color w:val="1F4D78"/>
          <w:sz w:val="48"/>
        </w:rPr>
        <w:t>《任务书、开题报告》</w:t>
      </w:r>
    </w:p>
    <w:p>
      <w:pPr>
        <w:spacing w:after="320"/>
      </w:pPr>
      <w:r>
        <w:rPr>
          <w:rFonts w:ascii="Calibri" w:hAnsi="Calibri" w:eastAsia="黑体"/>
          <w:b/>
          <w:color w:val="2E74B5"/>
          <w:sz w:val="36"/>
        </w:rPr>
        <w:t>整体审核意见及针对性修改建议</w:t>
      </w:r>
    </w:p>
    <w:p>
      <w:pPr>
        <w:spacing w:before="0" w:after="4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审核对象：</w:t>
      </w:r>
      <w:r>
        <w:rPr>
          <w:rFonts w:ascii="Calibri" w:hAnsi="Calibri" w:eastAsia="宋体"/>
          <w:color w:val="203040"/>
          <w:sz w:val="22"/>
        </w:rPr>
        <w:t>AI短剧《山海契灵》创作阐述（任务书与开题报告合并文档）</w:t>
      </w:r>
    </w:p>
    <w:p>
      <w:pPr>
        <w:spacing w:before="0" w:after="4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审核范围：</w:t>
      </w:r>
      <w:r>
        <w:rPr>
          <w:rFonts w:ascii="Calibri" w:hAnsi="Calibri" w:eastAsia="宋体"/>
          <w:color w:val="203040"/>
          <w:sz w:val="22"/>
        </w:rPr>
        <w:t>内容逻辑、两部分一致性、研究与创作方案、进度、参考文献、语言及文档规范</w:t>
      </w:r>
    </w:p>
    <w:p>
      <w:pPr>
        <w:spacing w:before="0" w:after="4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建议用途：</w:t>
      </w:r>
      <w:r>
        <w:rPr>
          <w:rFonts w:ascii="Calibri" w:hAnsi="Calibri" w:eastAsia="宋体"/>
          <w:color w:val="203040"/>
          <w:sz w:val="22"/>
        </w:rPr>
        <w:t>开题答辩前集中修改与自查</w:t>
      </w:r>
    </w:p>
    <w:p>
      <w:pPr>
        <w:shd w:fill="FFF4CE"/>
        <w:pBdr>
          <w:top w:val="single" w:sz="6" w:space="6" w:color="E6D78A"/>
          <w:left w:val="single" w:sz="6" w:space="6" w:color="E6D78A"/>
          <w:bottom w:val="single" w:sz="6" w:space="6" w:color="E6D78A"/>
          <w:right w:val="single" w:sz="6" w:space="6" w:color="E6D78A"/>
        </w:pBdr>
        <w:spacing w:before="80" w:after="160"/>
        <w:ind w:left="144" w:right="144"/>
      </w:pPr>
      <w:r>
        <w:rPr>
          <w:rFonts w:ascii="Calibri" w:hAnsi="Calibri" w:eastAsia="宋体"/>
          <w:b/>
          <w:color w:val="7A5A00"/>
          <w:sz w:val="22"/>
        </w:rPr>
        <w:t>总体判断：</w:t>
      </w:r>
      <w:r>
        <w:rPr>
          <w:rFonts w:ascii="Calibri" w:hAnsi="Calibri" w:eastAsia="宋体"/>
          <w:color w:val="203040"/>
          <w:sz w:val="22"/>
        </w:rPr>
        <w:t>选题方向具有可行性，传统文化考据、微短剧叙事与AIGC生产三条线也已初步建立；但当前版本存在身份/分工、时间节点、成果形态三类关键矛盾，技术指标和研究方法尚未形成可验收标准，文献综述偏“逐篇介绍”。建议先处理P0问题，再补足论证与格式。</w:t>
      </w:r>
    </w:p>
    <w:p>
      <w:pPr>
        <w:pStyle w:val="Heading1"/>
      </w:pPr>
      <w:r>
        <w:t>一、优先修改清单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200"/>
        <w:gridCol w:w="52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 w:eastAsia="宋体"/>
                <w:b/>
                <w:color w:val="1F4D78"/>
                <w:sz w:val="22"/>
              </w:rPr>
              <w:t>级别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 w:eastAsia="宋体"/>
                <w:b/>
                <w:color w:val="1F4D78"/>
                <w:sz w:val="22"/>
              </w:rPr>
              <w:t>核心问题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 w:eastAsia="宋体"/>
                <w:b/>
                <w:color w:val="1F4D78"/>
                <w:sz w:val="22"/>
              </w:rPr>
              <w:t>修改目标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/>
                <w:color w:val="9B1C1C"/>
                <w:sz w:val="22"/>
              </w:rPr>
              <w:t>P0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任务书“独立完成” vs. 报告“小组/我们”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明确个人项目还是团队项目；统一全文主语并写清个人独立成果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/>
                <w:color w:val="9B1C1C"/>
                <w:sz w:val="22"/>
              </w:rPr>
              <w:t>P0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任务书与报告进度不一致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统一选题、剧本、素材生成、粗剪、修改、定稿的日期与交付物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/>
                <w:color w:val="9B1C1C"/>
                <w:sz w:val="22"/>
              </w:rPr>
              <w:t>P0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成果与技术指标不可验收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补充集数、单集时长、画幅、分辨率、字幕、声音、脚本和过程材料等指标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/>
                <w:color w:val="9B1C1C"/>
                <w:sz w:val="22"/>
              </w:rPr>
              <w:t>P0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文档仍含修订痕迹和异常空段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提交前接受/拒绝全部修订，删除空段并清理个人元数据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/>
                <w:color w:val="203040"/>
                <w:sz w:val="22"/>
              </w:rPr>
              <w:t>P1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文献综述缺少归纳、比较和研究缺口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按四类研究线索重写，并说明现有研究未解决什么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/>
                <w:color w:val="203040"/>
                <w:sz w:val="22"/>
              </w:rPr>
              <w:t>P1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AIGC流程、评价方法和合规方案过于笼统</w:t>
            </w:r>
          </w:p>
        </w:tc>
        <w:tc>
          <w:tcPr>
            <w:tcW w:type="dxa" w:w="5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宋体"/>
                <w:b w:val="0"/>
                <w:color w:val="203040"/>
                <w:sz w:val="22"/>
              </w:rPr>
              <w:t>补充工作流、连续性控制、测试指标、版权与AI标识方案</w:t>
            </w:r>
          </w:p>
        </w:tc>
      </w:tr>
    </w:tbl>
    <w:p>
      <w:pPr>
        <w:pStyle w:val="Heading1"/>
      </w:pPr>
      <w:r>
        <w:t>二、任务书部分的针对性建议</w:t>
      </w:r>
    </w:p>
    <w:p>
      <w:pPr>
        <w:pStyle w:val="Heading2"/>
      </w:pPr>
      <w:r>
        <w:rPr>
          <w:color w:val="9B1C1C"/>
        </w:rPr>
        <w:t>统一题目与最终成果边界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任务书首页“论文（设计）题目”及“毕业设计的内容”首段。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题目使用“AI短剧”，正文又使用“AIGC短剧”“AI微短剧”，成果有时表述为“20集完整作品”，有时又像“策划方案/创作阐述”。名称和成果边界不统一，会直接影响验收。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先确认最终提交的是20集成片、若干集样片，还是20集策划加部分成片；随后统一题目、任务内容、技术指标、进度和提纲中的术语。若确实提交完整成片，建议统一使用“AIGC微短剧”。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题目可改为：AIGC微短剧《山海契灵》创作设计与阐述。若只完成样片，应明确为：AIGC微短剧《山海契灵》系列策划及样片创作阐述。</w:t>
      </w:r>
    </w:p>
    <w:p>
      <w:pPr>
        <w:pStyle w:val="Heading2"/>
      </w:pPr>
      <w:r>
        <w:t>把“主要问题”改成可解决的设计问题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任务书“主要问题”两条。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现有表述是“如何学习技巧”“需要学习知识”，属于学习任务，不是毕业设计要解决的核心问题。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改成三项设计问题，分别对应文化考据、短剧叙事、AI生产；每项问题都要能在设计阐述中给出方法、过程证据和结果。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（1）如何建立《山海经》异兽形象的可追溯考据机制，并完成适度的当代叙事转化；（2）如何用“主线+单元故事”结构兼顾竖屏微短剧节奏与人文表达；（3）如何针对生成式视频的连续性与复杂动作限制，建立角色、场景和镜头的一致性控制流程。</w:t>
      </w:r>
    </w:p>
    <w:p>
      <w:pPr>
        <w:pStyle w:val="Heading2"/>
      </w:pPr>
      <w:r>
        <w:rPr>
          <w:color w:val="9B1C1C"/>
        </w:rPr>
        <w:t>补齐量化技术指标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任务书“拟达到的要求或技术指标”。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当前五条主要是学术纪律与通用写作要求，无法判断作品是否达标，也没有体现AI短剧的专业特征。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在保留学校通用要求的基础上，增加成片、剧本、视觉、声音、过程材料和设计阐述六类验收指标。数值应以学院要求和实际制作能力为准，不要为了显得完整而虚报。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示例指标：计划完成20集，每集约60—90秒；竖屏9:16，1080×1920；完成20集分集梗概、分镜/镜头清单、统一角色设定表、异兽考据卡、关键提示词迭代记录；字幕无明显错漏，音乐/字体/素材授权可追溯；设计阐述不少于5000字。</w:t>
      </w:r>
    </w:p>
    <w:p>
      <w:pPr>
        <w:pStyle w:val="Heading2"/>
      </w:pPr>
      <w:r>
        <w:rPr>
          <w:color w:val="9B1C1C"/>
        </w:rPr>
        <w:t>修正计划进度与成果顺序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任务书“计划进度安排”，并与开题报告3.1对照。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开题报告写“2026年7月确定选题”“2026年9—10月确定选题”，任务书却写9月上旬确定；报告又计划2026年12月“最终完成20集完整作品”，但2027年1月才“完成初稿”，先后顺序矛盾。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统一为“前期考据与剧本—视觉设定测试—素材生成—粗剪—内审—二稿—定稿—答辩”的顺序。每一时间段只写可核验交付物，并与任务书学校节点完全对齐。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建议：9月完成选题与开题；10—11月完成考据表、世界观、人物小传、20集分集梗概和剧本初稿；12月完成风格测试及首批样片；1—3月完成素材生成、粗剪和修改；4月完成成片与设计阐述；5月答辩与归档。</w:t>
      </w:r>
    </w:p>
    <w:p>
      <w:pPr>
        <w:pStyle w:val="Heading2"/>
      </w:pPr>
      <w:r>
        <w:t>扩充“应收集资料”并形成证据链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任务书“应收集的资料及主要参考文献”。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资料要求只列了两类，缺少政策规范、平台规格、AI工具能力测试、市场样本和版权授权材料。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增加五类资料：权威校注本及异兽原文；AIGC/微短剧相关法规和平台规则；同类作品样本表；AI工具测试记录；音乐、字体、配音、图片等授权证明。形成“来源—创作转化—成片镜头”的对应关系。</w:t>
      </w:r>
    </w:p>
    <w:p>
      <w:pPr>
        <w:pStyle w:val="Heading1"/>
      </w:pPr>
      <w:r>
        <w:t>三、开题报告部分的针对性建议</w:t>
      </w:r>
    </w:p>
    <w:p>
      <w:pPr>
        <w:pStyle w:val="Heading2"/>
      </w:pPr>
      <w:r>
        <w:t>为题目背景补充证据，减少绝对化判断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1.1“题目背景”两段。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“受到大量观众喜爱”“市场上部分作品存在魔改”“成为重中之重”等判断缺少数据或文献支撑，语气偏宣传化。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至少补充一组行业数据或权威报告、一组平台/作品样本，并说明样本范围与观察维度。把价值判断改为可论证表达。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可改为：基于对××平台在××时间段内×部国风志怪微短剧的观察，部分作品存在异兽设定与原典出处脱节、叙事依赖视觉奇观等现象。因此，本项目拟以可追溯考据和单元叙事为切入点，探索传统古籍IP的AIGC微短剧转化路径。</w:t>
      </w:r>
    </w:p>
    <w:p>
      <w:pPr>
        <w:pStyle w:val="Heading2"/>
      </w:pPr>
      <w:r>
        <w:t>降低“完全还原原著”的承诺强度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1.2“选题意义”第一点。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“所有异兽的形貌、习性、出场背景均能对应古籍原文记载”承诺过强。《山海经》版本、注本和图像传统复杂，影视创作也必然包含转化。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将“完全对应”改为“核心特征可追溯”，并建立异兽考据卡：原文、篇目/版本、核心特征、改编内容、改编理由、对应集数。这样既守住依据，也保留创作空间。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核心形貌、能力与文化寓意以权威校注本为依据；新增关系、场景和情节作为创作性转化单独标注，并解释其叙事功能。</w:t>
      </w:r>
    </w:p>
    <w:p>
      <w:pPr>
        <w:pStyle w:val="Heading2"/>
      </w:pPr>
      <w:r>
        <w:rPr>
          <w:color w:val="9B1C1C"/>
        </w:rPr>
        <w:t>将文献综述从“逐篇摘要”改为“研究脉络+缺口”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1.3.1“论文著作研究成果梳理”。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现有内容主要按阅读顺序介绍单篇文献，缺少观点比较、争议梳理和项目研究缺口；“共42篇”的筛选过程也不可复核。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按四条线索重组：①《山海经》文本考据与图像谱系；②古籍IP影视化与跨媒介转化；③微短剧/单元叙事与竖屏节奏；④AIGC影像生产、美学与风险。每组最后写“共识—分歧—不足—本项目回应”。补充数据库、关键词、检索日期、初筛与纳入数量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研究缺口示例：现有研究较多讨论传统文化的AI影像转化价值，较少把异兽考据、单元叙事节奏与生成式视频连续性控制放在同一创作流程中验证；本项目将通过考据卡、分集结构表和提示词迭代记录形成实践证据。</w:t>
      </w:r>
    </w:p>
    <w:p>
      <w:pPr>
        <w:pStyle w:val="Heading2"/>
      </w:pPr>
      <w:r>
        <w:rPr>
          <w:color w:val="9B1C1C"/>
        </w:rPr>
        <w:t>修正影视作品梳理的结构与样本说明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1.3.2“影视作品梳理”。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开头写“主要分为三个部分”，正文实际列出第一至第四，共四部分；同时声称调研27部志怪微短剧、11部AI短剧，却没有作品清单、平台、时间范围和评价维度。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把“三个部分”改为“四个部分”；新增附表或附录，至少列出作品名、平台/年份、题材、单集时长、画幅、钩子、转折、悬念、AI表现问题、可借鉴点。正文只总结规律，不堆作品名。</w:t>
      </w:r>
    </w:p>
    <w:p>
      <w:pPr>
        <w:pStyle w:val="Heading2"/>
      </w:pPr>
      <w:r>
        <w:t>让故事方案具体到可评审的创作单位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2.1“主要内容”。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目前仍是通用的“灭门—查真相—打反派—开放结局”框架，无法看出《山海经》考据如何进入剧情，也无法验证20集是否能支撑主线。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补充一句话梗概、主题命题、主角欲望与缺陷、反派动机、主角弧光；再制作20集分集矩阵，列出每集异兽、原典出处、人性议题、主线推进、开篇钩子和结尾悬念。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一句话梗概模板：为查清宗门覆灭真相，____（主角身份/缺陷）必须在____（期限/限制）内与被误解的异兽结契；每破解一桩“人祸伪装成兽祸”的事件，便更接近____（核心真相），也被迫改变其____（原有偏见）。</w:t>
      </w:r>
    </w:p>
    <w:p>
      <w:pPr>
        <w:pStyle w:val="Heading2"/>
      </w:pPr>
      <w:r>
        <w:t>补充明确的研究/设计方法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2.2“思路及方案”，建议新增“研究与创作方法”小节。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目前只有“查资料—构思—AI创作—后期剪辑”的过程描述，没有说明如何分析、比较和评价，因此设计阐述的学术性不足。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建议写明：文本考据法、案例分析法、比较研究法、创作实践法和小规模受众测试法。为每种方法说明材料、步骤、产出和评价指标。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例如：选取不少于×部作品开展编码分析；用5—8名目标受众进行内部试看，从剧情理解、节奏、角色一致性、恐怖氛围和文化信息识别五个维度评分，并记录开放式反馈。样本量不宜夸大，重点是流程透明。</w:t>
      </w:r>
    </w:p>
    <w:p>
      <w:pPr>
        <w:pStyle w:val="Heading2"/>
      </w:pPr>
      <w:r>
        <w:t>细化AIGC生产流程与连续性控制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2.2“AI创作：主要选择豆包与即梦等AI工具进行创作”。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仅列工具名称不能说明技术路线；也未说明角色一致性、异兽形态稳定、镜头衔接、失败素材筛选和版本记录方法。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补成完整工作流：剧本拆镜—视觉圣经—角色/异兽设定图—关键帧—图生视频—镜头筛选—补帧/剪辑—配音配乐—字幕—输出。记录工具版本、关键参数、种子/参考图、提示词迭代和淘汰原因。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连续性指标可包括：同角色服饰/面部核心特征一致；同场景色温与构图基调一致；异兽关键形态特征在连续镜头中保留；对明显肢体畸变、穿模、口型错位设定淘汰规则。</w:t>
      </w:r>
    </w:p>
    <w:p>
      <w:pPr>
        <w:pStyle w:val="Heading2"/>
      </w:pPr>
      <w:r>
        <w:rPr>
          <w:color w:val="9B1C1C"/>
        </w:rPr>
        <w:t>处理个人分工与独立完成要求的冲突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2.2中“我们”“小组”“我的主要工作”，并对照任务书“学生本人独立完成”。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这是当前最需要澄清的合规问题。若是团队作品，任务书的“独立完成”应解释为个人独立承担可考核模块；若是个人作品，则全文不应出现小组主语。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向指导教师确认培养方案允许的协作方式。团队项目应增加成员分工表、共同成果与个人成果边界、素材交接方式，并在阐述中重点证明本人负责模块；个人项目则统一改为“本人/本项目”。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示例：本项目为团队协作作品。本人独立负责AI视觉生成、镜头筛选与后期剪辑，并提交提示词迭代记录、镜头版本表和工程文件作为个人工作证明；剧本/声音等协作内容按实际成员及工作量另行列明。</w:t>
      </w:r>
    </w:p>
    <w:p>
      <w:pPr>
        <w:pStyle w:val="Heading2"/>
      </w:pPr>
      <w:r>
        <w:t>增加版权、伦理和平台合规方案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2.2“AI创作”“后期剪辑”之后，建议新增“合规与风险控制”。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缺少对原著版本、参考图、字体、音乐、配音、人物肖像、AI生成内容标识和工具服务条款的说明。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建立素材授权台账；不直接模仿在世艺术家或具体作品风格，不使用未授权真人肖像/声音；核对工具商用条款；按学校与发布平台要求标识AI生成/辅助生成内容；保留生成记录和工程源文件。</w:t>
      </w:r>
    </w:p>
    <w:p>
      <w:pPr>
        <w:pStyle w:val="Heading2"/>
      </w:pPr>
      <w:r>
        <w:rPr>
          <w:color w:val="9B1C1C"/>
        </w:rPr>
        <w:t>重写工作进度，避免“成片先于初稿”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3.1“工作进度”。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2026年12月写“最终完成20集完整微短剧作品”，2027年1月又“完成初稿”，逻辑倒置；2—4月仅写“二稿/三稿/定稿”，没有对应交付物。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把每月任务拆成“内容成果+技术成果+审核动作”。例如：12月完成视觉设定与3—5集样片，不宜直接承诺全部成片；1月完成20集粗剪；2月根据内审完成二稿；3月完成受众测试与三稿；4月完成成片、阐述与归档材料。</w:t>
      </w:r>
    </w:p>
    <w:p>
      <w:pPr>
        <w:pStyle w:val="Heading2"/>
      </w:pPr>
      <w:r>
        <w:t>优化设计阐述提纲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3.2标题及目录。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标题写作“工作阐述”，与上位标题“设计阐述提纲”不一致；第2章偏过程罗列，第3章只有感悟，缺少方法、效果评价、合规与局限。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统一为“3.2设计阐述提纲”，将论文结构调整为：绪论—创作依据与方法—方案设计—AIGC生产与后期—作品评价—反思与结论。</w:t>
      </w:r>
    </w:p>
    <w:p>
      <w:pPr>
        <w:shd w:fill="EAF2F8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  <w:spacing w:before="80" w:after="160"/>
        <w:ind w:left="144" w:right="144"/>
      </w:pPr>
      <w:r>
        <w:rPr>
          <w:rFonts w:ascii="Calibri" w:hAnsi="Calibri" w:eastAsia="宋体"/>
          <w:b/>
          <w:color w:val="1F4D78"/>
          <w:sz w:val="22"/>
        </w:rPr>
        <w:t>可直接参考的改写：</w:t>
        <w:br/>
      </w:r>
      <w:r>
        <w:rPr>
          <w:rFonts w:ascii="Calibri" w:hAnsi="Calibri" w:eastAsia="宋体"/>
          <w:color w:val="203040"/>
          <w:sz w:val="22"/>
        </w:rPr>
        <w:t>建议目录：1 绪论（背景、意义、综述、方法）；2 创作依据（异兽考据、案例分析、设计原则）；3 《山海契灵》方案设计（世界观、人物、20集结构、视听风格）；4 AIGC生产与后期（工作流、一致性控制、声音字幕、合规）；5 作品测试与效果分析；6 创作反思与局限；结语、参考文献、附录、致谢。</w:t>
      </w:r>
    </w:p>
    <w:p>
      <w:pPr>
        <w:pStyle w:val="Heading1"/>
      </w:pPr>
      <w:r>
        <w:t>四、参考文献与学术规范建议</w:t>
      </w:r>
    </w:p>
    <w:p>
      <w:pPr>
        <w:pStyle w:val="Heading2"/>
      </w:pPr>
      <w:r>
        <w:t>补充一手文献并核对二手转引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任务书参考文献[13][16]及1.3.1相关论述。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正文实际使用《古本山海经图说》和陈连山著作观点，但参考文献列出的分别更像书评/评介文章。只引用评介容易形成二手转引，也不足以支撑异兽考据。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增加实际采用的《山海经》权威校注本、图像学资料及所述专著；凡通过二手文献获知的观点要核对原书。涉及成书年代等存在争议的问题，应呈现不同观点并说明本项目采用哪一版本作为创作依据。</w:t>
      </w:r>
    </w:p>
    <w:p>
      <w:pPr>
        <w:pStyle w:val="Heading2"/>
      </w:pPr>
      <w:r>
        <w:rPr>
          <w:color w:val="9B1C1C"/>
        </w:rPr>
        <w:t>逐条核验参考文献真实性与格式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任务书主要参考文献[1]—[16]。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不同条目在作者、空格、标点、文献类型和DOI呈现上不完全统一；正文中“吕析影”与参考文献“吕栎影”写法不一致。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以知网/期刊官网的题录页逐条核验作者、题名、刊名、年卷期、页码和DOI；统一按学院文件或GB/T 7714格式著录。正文引用应与文后序号一一对应，不要仅在综述中提作者而无引文序号。</w:t>
      </w:r>
    </w:p>
    <w:p>
      <w:pPr>
        <w:pStyle w:val="Heading2"/>
      </w:pPr>
      <w:r>
        <w:t>让“42篇、27部、11部”可复核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1.3.1与1.3.2中的数量表述。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数量看似具体，但缺少检索式、时间、纳入标准和样本表，答辩时容易被追问。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把检索记录和作品样本清单放入附录。若无法提供完整证据，应改成较谨慎表述，或只报告已实际完成编码分析的样本数。</w:t>
      </w:r>
    </w:p>
    <w:p>
      <w:pPr>
        <w:pStyle w:val="Heading1"/>
      </w:pPr>
      <w:r>
        <w:t>五、语言、格式与文档状态建议</w:t>
      </w:r>
    </w:p>
    <w:p>
      <w:pPr>
        <w:pStyle w:val="Heading2"/>
      </w:pPr>
      <w:r>
        <w:t>统一学术语体和术语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全文。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存在“重中之重”“有很大帮助”“因为IP价值浓厚”“浏览……讨论得出”等口语或宣传化表达；AI短剧、AI微短剧、AIGC短剧混用。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统一核心术语并在绪论首次出现时界定；改用“本项目拟……”“分析表明……”“用于支撑……”等可验证表达。删减“完全、所有、严格、最终”等难以证明的绝对词。</w:t>
      </w:r>
    </w:p>
    <w:p>
      <w:pPr>
        <w:pStyle w:val="Heading2"/>
      </w:pPr>
      <w:r>
        <w:rPr>
          <w:color w:val="9B1C1C"/>
        </w:rPr>
        <w:t>清理修订痕迹、空段和个人元数据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文档底层结构与表格单元格。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结构检查发现文档含46处插入型修订标记；开题报告主体表格中存在大量空段（其中两处主要内容单元格分别有24个和21个空段）；文档作者/最后修改者元数据与学生姓名不一致。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在保留备份的前提下，提交版接受或拒绝全部修订，关闭修订模式；删除人为撑版的空段，使用段前段后和分页设置控制版式；通过“检查文档/检查问题”清理作者、最后修改者和批注等个人信息。</w:t>
      </w:r>
    </w:p>
    <w:p>
      <w:pPr>
        <w:pStyle w:val="Heading2"/>
      </w:pPr>
      <w:r>
        <w:t>检查表格分页和标题层级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位置：</w:t>
      </w:r>
      <w:r>
        <w:rPr>
          <w:rFonts w:ascii="Calibri" w:hAnsi="Calibri" w:eastAsia="宋体"/>
          <w:color w:val="203040"/>
          <w:sz w:val="22"/>
        </w:rPr>
        <w:t>任务书大表、开题报告三张单列表格及各级标题。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9B1C1C"/>
          <w:sz w:val="22"/>
        </w:rPr>
        <w:t>问题：</w:t>
      </w:r>
      <w:r>
        <w:rPr>
          <w:rFonts w:ascii="Calibri" w:hAnsi="Calibri" w:eastAsia="宋体"/>
          <w:color w:val="203040"/>
          <w:sz w:val="22"/>
        </w:rPr>
        <w:t>正文几乎全部放在单列表格内，内容很长；大量空段可能造成异常分页。标题有“1.3资料准备—1.3.1……”与拟定论文目录“1.2文献综述—1.2.1……”两套层级，容易混淆。</w:t>
      </w:r>
    </w:p>
    <w:p>
      <w:pPr>
        <w:spacing w:before="0" w:after="80" w:line="264" w:lineRule="auto"/>
        <w:ind w:left="0"/>
      </w:pPr>
      <w:r>
        <w:rPr>
          <w:rFonts w:ascii="Calibri" w:hAnsi="Calibri" w:eastAsia="宋体"/>
          <w:b/>
          <w:color w:val="1F4D78"/>
          <w:sz w:val="22"/>
        </w:rPr>
        <w:t>建议：</w:t>
      </w:r>
      <w:r>
        <w:rPr>
          <w:rFonts w:ascii="Calibri" w:hAnsi="Calibri" w:eastAsia="宋体"/>
          <w:color w:val="203040"/>
          <w:sz w:val="22"/>
        </w:rPr>
        <w:t>保留学校模板时不要改表格框架，但应启用允许跨页断行、合理设置单元格内段落间距，避免整段被推到下一页；统一开题报告内部编号。最终设计阐述的目录编号可另行设计，不必机械复制开题报告编号。</w:t>
      </w:r>
    </w:p>
    <w:p>
      <w:pPr>
        <w:pStyle w:val="Heading1"/>
      </w:pPr>
      <w:r>
        <w:t>六、建议的修改顺序</w:t>
      </w:r>
    </w:p>
    <w:p>
      <w:pPr>
        <w:spacing w:after="160"/>
        <w:ind w:left="461" w:hanging="461"/>
      </w:pPr>
      <w:r>
        <w:rPr>
          <w:rFonts w:ascii="Calibri" w:hAnsi="Calibri" w:eastAsia="宋体"/>
          <w:b/>
          <w:color w:val="2E74B5"/>
          <w:sz w:val="22"/>
        </w:rPr>
        <w:t xml:space="preserve">1. </w:t>
      </w:r>
      <w:r>
        <w:rPr>
          <w:rFonts w:ascii="Calibri" w:hAnsi="Calibri" w:eastAsia="宋体"/>
          <w:color w:val="203040"/>
          <w:sz w:val="22"/>
        </w:rPr>
        <w:t>先向指导教师确认：个人/团队属性、最终成果是20集成片还是策划加样片、单集时长与学校技术规格。</w:t>
      </w:r>
    </w:p>
    <w:p>
      <w:pPr>
        <w:spacing w:after="160"/>
        <w:ind w:left="461" w:hanging="461"/>
      </w:pPr>
      <w:r>
        <w:rPr>
          <w:rFonts w:ascii="Calibri" w:hAnsi="Calibri" w:eastAsia="宋体"/>
          <w:b/>
          <w:color w:val="2E74B5"/>
          <w:sz w:val="22"/>
        </w:rPr>
        <w:t xml:space="preserve">2. </w:t>
      </w:r>
      <w:r>
        <w:rPr>
          <w:rFonts w:ascii="Calibri" w:hAnsi="Calibri" w:eastAsia="宋体"/>
          <w:color w:val="203040"/>
          <w:sz w:val="22"/>
        </w:rPr>
        <w:t>统一任务书与开题报告中的题目、术语、主语、成果形态和时间节点。</w:t>
      </w:r>
    </w:p>
    <w:p>
      <w:pPr>
        <w:spacing w:after="160"/>
        <w:ind w:left="461" w:hanging="461"/>
      </w:pPr>
      <w:r>
        <w:rPr>
          <w:rFonts w:ascii="Calibri" w:hAnsi="Calibri" w:eastAsia="宋体"/>
          <w:b/>
          <w:color w:val="2E74B5"/>
          <w:sz w:val="22"/>
        </w:rPr>
        <w:t xml:space="preserve">3. </w:t>
      </w:r>
      <w:r>
        <w:rPr>
          <w:rFonts w:ascii="Calibri" w:hAnsi="Calibri" w:eastAsia="宋体"/>
          <w:color w:val="203040"/>
          <w:sz w:val="22"/>
        </w:rPr>
        <w:t>补写可验收技术指标、分集矩阵、异兽考据卡和个人分工证明。</w:t>
      </w:r>
    </w:p>
    <w:p>
      <w:pPr>
        <w:spacing w:after="160"/>
        <w:ind w:left="461" w:hanging="461"/>
      </w:pPr>
      <w:r>
        <w:rPr>
          <w:rFonts w:ascii="Calibri" w:hAnsi="Calibri" w:eastAsia="宋体"/>
          <w:b/>
          <w:color w:val="2E74B5"/>
          <w:sz w:val="22"/>
        </w:rPr>
        <w:t xml:space="preserve">4. </w:t>
      </w:r>
      <w:r>
        <w:rPr>
          <w:rFonts w:ascii="Calibri" w:hAnsi="Calibri" w:eastAsia="宋体"/>
          <w:color w:val="203040"/>
          <w:sz w:val="22"/>
        </w:rPr>
        <w:t>重写文献综述：分类归纳、比较观点、提出研究缺口，并核验全部题录。</w:t>
      </w:r>
    </w:p>
    <w:p>
      <w:pPr>
        <w:spacing w:after="160"/>
        <w:ind w:left="461" w:hanging="461"/>
      </w:pPr>
      <w:r>
        <w:rPr>
          <w:rFonts w:ascii="Calibri" w:hAnsi="Calibri" w:eastAsia="宋体"/>
          <w:b/>
          <w:color w:val="2E74B5"/>
          <w:sz w:val="22"/>
        </w:rPr>
        <w:t xml:space="preserve">5. </w:t>
      </w:r>
      <w:r>
        <w:rPr>
          <w:rFonts w:ascii="Calibri" w:hAnsi="Calibri" w:eastAsia="宋体"/>
          <w:color w:val="203040"/>
          <w:sz w:val="22"/>
        </w:rPr>
        <w:t>补充研究方法、AIGC工作流、评价方案与版权/伦理风险控制。</w:t>
      </w:r>
    </w:p>
    <w:p>
      <w:pPr>
        <w:spacing w:after="160"/>
        <w:ind w:left="461" w:hanging="461"/>
      </w:pPr>
      <w:r>
        <w:rPr>
          <w:rFonts w:ascii="Calibri" w:hAnsi="Calibri" w:eastAsia="宋体"/>
          <w:b/>
          <w:color w:val="2E74B5"/>
          <w:sz w:val="22"/>
        </w:rPr>
        <w:t xml:space="preserve">6. </w:t>
      </w:r>
      <w:r>
        <w:rPr>
          <w:rFonts w:ascii="Calibri" w:hAnsi="Calibri" w:eastAsia="宋体"/>
          <w:color w:val="203040"/>
          <w:sz w:val="22"/>
        </w:rPr>
        <w:t>调整设计阐述提纲，使“方法—过程—结果—评价—反思”形成闭环。</w:t>
      </w:r>
    </w:p>
    <w:p>
      <w:pPr>
        <w:spacing w:after="160"/>
        <w:ind w:left="461" w:hanging="461"/>
      </w:pPr>
      <w:r>
        <w:rPr>
          <w:rFonts w:ascii="Calibri" w:hAnsi="Calibri" w:eastAsia="宋体"/>
          <w:b/>
          <w:color w:val="2E74B5"/>
          <w:sz w:val="22"/>
        </w:rPr>
        <w:t xml:space="preserve">7. </w:t>
      </w:r>
      <w:r>
        <w:rPr>
          <w:rFonts w:ascii="Calibri" w:hAnsi="Calibri" w:eastAsia="宋体"/>
          <w:color w:val="203040"/>
          <w:sz w:val="22"/>
        </w:rPr>
        <w:t>最后做语言精修、修订接受、空段清理、元数据清理和版式检查。</w:t>
      </w:r>
    </w:p>
    <w:p>
      <w:pPr>
        <w:pStyle w:val="Heading1"/>
      </w:pPr>
      <w:r>
        <w:t>七、开题答辩前自查清单</w:t>
      </w:r>
    </w:p>
    <w:p>
      <w:pPr>
        <w:spacing w:after="120"/>
        <w:ind w:left="432" w:hanging="432"/>
      </w:pPr>
      <w:r>
        <w:rPr>
          <w:rFonts w:ascii="Calibri" w:hAnsi="Calibri" w:eastAsia="宋体"/>
          <w:b/>
          <w:color w:val="2E74B5"/>
          <w:sz w:val="22"/>
        </w:rPr>
        <w:t xml:space="preserve">□ </w:t>
      </w:r>
      <w:r>
        <w:rPr>
          <w:rFonts w:ascii="Calibri" w:hAnsi="Calibri" w:eastAsia="宋体"/>
          <w:color w:val="203040"/>
          <w:sz w:val="22"/>
        </w:rPr>
        <w:t>题目、成果形式、集数和单集时长在任务书与开题报告中完全一致。</w:t>
      </w:r>
    </w:p>
    <w:p>
      <w:pPr>
        <w:spacing w:after="120"/>
        <w:ind w:left="432" w:hanging="432"/>
      </w:pPr>
      <w:r>
        <w:rPr>
          <w:rFonts w:ascii="Calibri" w:hAnsi="Calibri" w:eastAsia="宋体"/>
          <w:b/>
          <w:color w:val="2E74B5"/>
          <w:sz w:val="22"/>
        </w:rPr>
        <w:t xml:space="preserve">□ </w:t>
      </w:r>
      <w:r>
        <w:rPr>
          <w:rFonts w:ascii="Calibri" w:hAnsi="Calibri" w:eastAsia="宋体"/>
          <w:color w:val="203040"/>
          <w:sz w:val="22"/>
        </w:rPr>
        <w:t>全文已统一使用“本人/本项目”或明确团队分工，不再混用“我们/小组/我的工作”。</w:t>
      </w:r>
    </w:p>
    <w:p>
      <w:pPr>
        <w:spacing w:after="120"/>
        <w:ind w:left="432" w:hanging="432"/>
      </w:pPr>
      <w:r>
        <w:rPr>
          <w:rFonts w:ascii="Calibri" w:hAnsi="Calibri" w:eastAsia="宋体"/>
          <w:b/>
          <w:color w:val="2E74B5"/>
          <w:sz w:val="22"/>
        </w:rPr>
        <w:t xml:space="preserve">□ </w:t>
      </w:r>
      <w:r>
        <w:rPr>
          <w:rFonts w:ascii="Calibri" w:hAnsi="Calibri" w:eastAsia="宋体"/>
          <w:color w:val="203040"/>
          <w:sz w:val="22"/>
        </w:rPr>
        <w:t>三项核心设计问题均有对应方法、过程材料和评价指标。</w:t>
      </w:r>
    </w:p>
    <w:p>
      <w:pPr>
        <w:spacing w:after="120"/>
        <w:ind w:left="432" w:hanging="432"/>
      </w:pPr>
      <w:r>
        <w:rPr>
          <w:rFonts w:ascii="Calibri" w:hAnsi="Calibri" w:eastAsia="宋体"/>
          <w:b/>
          <w:color w:val="2E74B5"/>
          <w:sz w:val="22"/>
        </w:rPr>
        <w:t xml:space="preserve">□ </w:t>
      </w:r>
      <w:r>
        <w:rPr>
          <w:rFonts w:ascii="Calibri" w:hAnsi="Calibri" w:eastAsia="宋体"/>
          <w:color w:val="203040"/>
          <w:sz w:val="22"/>
        </w:rPr>
        <w:t>20集分集矩阵、异兽考据卡、作品样本表、提示词迭代记录已有附件或样例。</w:t>
      </w:r>
    </w:p>
    <w:p>
      <w:pPr>
        <w:spacing w:after="120"/>
        <w:ind w:left="432" w:hanging="432"/>
      </w:pPr>
      <w:r>
        <w:rPr>
          <w:rFonts w:ascii="Calibri" w:hAnsi="Calibri" w:eastAsia="宋体"/>
          <w:b/>
          <w:color w:val="2E74B5"/>
          <w:sz w:val="22"/>
        </w:rPr>
        <w:t xml:space="preserve">□ </w:t>
      </w:r>
      <w:r>
        <w:rPr>
          <w:rFonts w:ascii="Calibri" w:hAnsi="Calibri" w:eastAsia="宋体"/>
          <w:color w:val="203040"/>
          <w:sz w:val="22"/>
        </w:rPr>
        <w:t>所有统计数量和市场判断均有来源、样本范围或检索说明。</w:t>
      </w:r>
    </w:p>
    <w:p>
      <w:pPr>
        <w:spacing w:after="120"/>
        <w:ind w:left="432" w:hanging="432"/>
      </w:pPr>
      <w:r>
        <w:rPr>
          <w:rFonts w:ascii="Calibri" w:hAnsi="Calibri" w:eastAsia="宋体"/>
          <w:b/>
          <w:color w:val="2E74B5"/>
          <w:sz w:val="22"/>
        </w:rPr>
        <w:t xml:space="preserve">□ </w:t>
      </w:r>
      <w:r>
        <w:rPr>
          <w:rFonts w:ascii="Calibri" w:hAnsi="Calibri" w:eastAsia="宋体"/>
          <w:color w:val="203040"/>
          <w:sz w:val="22"/>
        </w:rPr>
        <w:t>参考文献作者、题名、期刊、年份、卷期、页码、DOI均已逐条核验。</w:t>
      </w:r>
    </w:p>
    <w:p>
      <w:pPr>
        <w:spacing w:after="120"/>
        <w:ind w:left="432" w:hanging="432"/>
      </w:pPr>
      <w:r>
        <w:rPr>
          <w:rFonts w:ascii="Calibri" w:hAnsi="Calibri" w:eastAsia="宋体"/>
          <w:b/>
          <w:color w:val="2E74B5"/>
          <w:sz w:val="22"/>
        </w:rPr>
        <w:t xml:space="preserve">□ </w:t>
      </w:r>
      <w:r>
        <w:rPr>
          <w:rFonts w:ascii="Calibri" w:hAnsi="Calibri" w:eastAsia="宋体"/>
          <w:color w:val="203040"/>
          <w:sz w:val="22"/>
        </w:rPr>
        <w:t>音乐、字体、配音、图像参考和AI工具使用条款均有授权/合规记录。</w:t>
      </w:r>
    </w:p>
    <w:p>
      <w:pPr>
        <w:spacing w:after="120"/>
        <w:ind w:left="432" w:hanging="432"/>
      </w:pPr>
      <w:r>
        <w:rPr>
          <w:rFonts w:ascii="Calibri" w:hAnsi="Calibri" w:eastAsia="宋体"/>
          <w:b/>
          <w:color w:val="2E74B5"/>
          <w:sz w:val="22"/>
        </w:rPr>
        <w:t xml:space="preserve">□ </w:t>
      </w:r>
      <w:r>
        <w:rPr>
          <w:rFonts w:ascii="Calibri" w:hAnsi="Calibri" w:eastAsia="宋体"/>
          <w:color w:val="203040"/>
          <w:sz w:val="22"/>
        </w:rPr>
        <w:t>已接受/拒绝全部修订，删除空段，清除不相关作者元数据，检查分页和表格。</w:t>
      </w:r>
    </w:p>
    <w:p/>
    <w:p>
      <w:pPr>
        <w:jc w:val="center"/>
      </w:pPr>
      <w:r>
        <w:rPr>
          <w:rFonts w:ascii="Calibri" w:hAnsi="Calibri" w:eastAsia="宋体"/>
          <w:color w:val="666666"/>
          <w:sz w:val="20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66666"/>
        <w:sz w:val="18"/>
      </w:rPr>
      <w:t xml:space="preserve">审核建议  ·  第 </w:t>
    </w:r>
    <w:r>
      <w:rPr>
        <w:rFonts w:ascii="Calibri" w:hAnsi="Calibri" w:eastAsia="宋体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宋体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宋体"/>
        <w:color w:val="666666"/>
        <w:sz w:val="18"/>
      </w:rPr>
      <w:t>毕业设计材料审阅｜整体审核意见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