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3AE" w:rsidRDefault="00DF53AE"/>
    <w:p w:rsidR="00D41935" w:rsidRDefault="00D41935" w:rsidP="00D41935">
      <w:pPr>
        <w:pStyle w:val="Titre1"/>
      </w:pPr>
      <w:r>
        <w:t>Explication générale des schémas et des données</w:t>
      </w:r>
    </w:p>
    <w:p w:rsidR="00D41935" w:rsidRDefault="00D41935"/>
    <w:p w:rsidR="0027635F" w:rsidRDefault="0027635F" w:rsidP="0027635F">
      <w:pPr>
        <w:pStyle w:val="Titre1"/>
      </w:pPr>
      <w:r>
        <w:t>Schéma des récepteurs</w:t>
      </w:r>
    </w:p>
    <w:p w:rsidR="00D41935" w:rsidRDefault="00D41935">
      <w:r>
        <w:t>Le schéma suivant donne la géométrie de la disposition des récepteurs (raspi3). Ils sont dénotés par les symboles verts. Une notice est associée, elle indique, par exemple:</w:t>
      </w:r>
    </w:p>
    <w:p w:rsidR="00D41935" w:rsidRDefault="00D41935" w:rsidP="00D41935">
      <w:pPr>
        <w:pStyle w:val="Paragraphedeliste"/>
        <w:numPr>
          <w:ilvl w:val="0"/>
          <w:numId w:val="1"/>
        </w:numPr>
      </w:pPr>
      <w:r>
        <w:t>101 : l’identifiant du récepteur (ID-RECEPT dans le fichier)</w:t>
      </w:r>
    </w:p>
    <w:p w:rsidR="00D41935" w:rsidRDefault="00D41935" w:rsidP="00D41935">
      <w:pPr>
        <w:pStyle w:val="Paragraphedeliste"/>
        <w:numPr>
          <w:ilvl w:val="0"/>
          <w:numId w:val="1"/>
        </w:numPr>
      </w:pPr>
      <w:r>
        <w:t xml:space="preserve">16 : l’identifiant d’un </w:t>
      </w:r>
      <w:proofErr w:type="spellStart"/>
      <w:r>
        <w:t>beacon</w:t>
      </w:r>
      <w:proofErr w:type="spellEnd"/>
      <w:r>
        <w:t xml:space="preserve"> qui lui est associé (dans notre cas un </w:t>
      </w:r>
      <w:proofErr w:type="spellStart"/>
      <w:r>
        <w:t>usb-beacon</w:t>
      </w:r>
      <w:proofErr w:type="spellEnd"/>
      <w:r>
        <w:t>)</w:t>
      </w:r>
    </w:p>
    <w:p w:rsidR="00D41935" w:rsidRDefault="00D41935" w:rsidP="00D41935">
      <w:pPr>
        <w:pStyle w:val="Paragraphedeliste"/>
        <w:numPr>
          <w:ilvl w:val="0"/>
          <w:numId w:val="1"/>
        </w:numPr>
      </w:pPr>
      <w:r>
        <w:t>Au sol : un note pour décrire une situation particulière.</w:t>
      </w:r>
    </w:p>
    <w:p w:rsidR="00D41935" w:rsidRDefault="00D41935" w:rsidP="00D41935">
      <w:r>
        <w:t xml:space="preserve">Sur le schéma sont aussi indiqués les </w:t>
      </w:r>
      <w:proofErr w:type="spellStart"/>
      <w:r>
        <w:t>beacons</w:t>
      </w:r>
      <w:proofErr w:type="spellEnd"/>
      <w:r>
        <w:t xml:space="preserve">. Ils sont dénotés par un cercle avec une aiguille de boussole. La couleur est utilisée pour dénoter la famille (fabricant du </w:t>
      </w:r>
      <w:proofErr w:type="spellStart"/>
      <w:r>
        <w:t>beacon</w:t>
      </w:r>
      <w:proofErr w:type="spellEnd"/>
      <w:r>
        <w:t>)</w:t>
      </w:r>
    </w:p>
    <w:p w:rsidR="00D41935" w:rsidRDefault="00D41935">
      <w:r>
        <w:t xml:space="preserve">Ce schéma dénote donc un rectangle de 5m par 4m dont les coins sont des </w:t>
      </w:r>
      <w:proofErr w:type="spellStart"/>
      <w:r>
        <w:t>recepteurs</w:t>
      </w:r>
      <w:proofErr w:type="spellEnd"/>
      <w:r>
        <w:t xml:space="preserve">. Chaque coin est marqué par deux </w:t>
      </w:r>
      <w:proofErr w:type="spellStart"/>
      <w:r>
        <w:t>beacons</w:t>
      </w:r>
      <w:proofErr w:type="spellEnd"/>
      <w:r>
        <w:t>.</w:t>
      </w:r>
      <w:r w:rsidR="0027635F">
        <w:t xml:space="preserve"> Le milieu du rectangle est marqué par deux </w:t>
      </w:r>
      <w:proofErr w:type="spellStart"/>
      <w:r w:rsidR="0027635F">
        <w:t>beacons</w:t>
      </w:r>
      <w:proofErr w:type="spellEnd"/>
      <w:r w:rsidR="0027635F">
        <w:t xml:space="preserve"> (B107, A107). Un des bords est </w:t>
      </w:r>
      <w:proofErr w:type="gramStart"/>
      <w:r w:rsidR="0027635F">
        <w:t>marqués</w:t>
      </w:r>
      <w:proofErr w:type="gramEnd"/>
      <w:r w:rsidR="0027635F">
        <w:t xml:space="preserve"> en son milieu par un </w:t>
      </w:r>
      <w:proofErr w:type="spellStart"/>
      <w:r w:rsidR="0027635F">
        <w:t>beacon</w:t>
      </w:r>
      <w:proofErr w:type="spellEnd"/>
      <w:r w:rsidR="0027635F">
        <w:t xml:space="preserve"> (B108</w:t>
      </w:r>
      <w:r w:rsidR="0027635F">
        <w:t>).</w:t>
      </w:r>
    </w:p>
    <w:p w:rsidR="0027635F" w:rsidRDefault="0027635F"/>
    <w:p w:rsidR="0027635F" w:rsidRDefault="0027635F">
      <w:r>
        <w:rPr>
          <w:noProof/>
          <w:lang w:eastAsia="fr-CH"/>
        </w:rPr>
        <w:pict w14:anchorId="763ED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58.1pt;margin-top:5.4pt;width:267.8pt;height:243.9pt;z-index:251658240;mso-wrap-style:tight" filled="t" stroked="t">
            <v:imagedata r:id="rId6" o:title=""/>
          </v:shape>
          <o:OLEObject Type="Embed" ProgID="Visio.Drawing.11" ShapeID="_x0000_s1026" DrawAspect="Content" ObjectID="_1523826329" r:id="rId7"/>
        </w:pict>
      </w:r>
    </w:p>
    <w:p w:rsidR="0027635F" w:rsidRDefault="0027635F"/>
    <w:p w:rsidR="0027635F" w:rsidRDefault="0027635F"/>
    <w:p w:rsidR="0027635F" w:rsidRDefault="0027635F"/>
    <w:p w:rsidR="0027635F" w:rsidRDefault="0027635F"/>
    <w:p w:rsidR="0027635F" w:rsidRDefault="0027635F"/>
    <w:p w:rsidR="0027635F" w:rsidRDefault="0027635F"/>
    <w:p w:rsidR="0027635F" w:rsidRDefault="0027635F"/>
    <w:p w:rsidR="0027635F" w:rsidRDefault="0027635F"/>
    <w:p w:rsidR="0027635F" w:rsidRDefault="0027635F"/>
    <w:p w:rsidR="00C66C36" w:rsidRDefault="00C66C36"/>
    <w:p w:rsidR="00C66C36" w:rsidRDefault="00C66C36" w:rsidP="00C66C36">
      <w:pPr>
        <w:pStyle w:val="Titre1"/>
      </w:pPr>
      <w:r>
        <w:t>Identification des récepteurs</w:t>
      </w:r>
    </w:p>
    <w:p w:rsidR="00C66C36" w:rsidRDefault="00C66C36" w:rsidP="00C66C36">
      <w:r>
        <w:t>Les récepteurs sont identifiés par leur IP.</w:t>
      </w:r>
    </w:p>
    <w:p w:rsidR="00C66C36" w:rsidRDefault="00C66C36" w:rsidP="00C66C36">
      <w:r>
        <w:lastRenderedPageBreak/>
        <w:t xml:space="preserve">Dans le cas d’un réseau limité à un masque 255.255.255.0, on peut </w:t>
      </w:r>
      <w:proofErr w:type="spellStart"/>
      <w:r>
        <w:t>peut</w:t>
      </w:r>
      <w:proofErr w:type="spellEnd"/>
      <w:r>
        <w:t xml:space="preserve"> prendre comme identifiant le dernier octet. </w:t>
      </w:r>
    </w:p>
    <w:p w:rsidR="00C66C36" w:rsidRDefault="00C66C36" w:rsidP="00C66C36">
      <w:r>
        <w:t xml:space="preserve">Exemple si le masque est </w:t>
      </w:r>
      <w:r>
        <w:t>255.255.255.0</w:t>
      </w:r>
      <w:r>
        <w:t xml:space="preserve"> et l’adresse 192.168.0.102 alors 102 est l’identifiant du </w:t>
      </w:r>
      <w:proofErr w:type="spellStart"/>
      <w:r>
        <w:t>recepteur</w:t>
      </w:r>
      <w:proofErr w:type="spellEnd"/>
      <w:r>
        <w:t>.</w:t>
      </w:r>
    </w:p>
    <w:p w:rsidR="0027635F" w:rsidRDefault="0027635F" w:rsidP="00C66C36">
      <w:pPr>
        <w:pStyle w:val="Titre1"/>
      </w:pPr>
      <w:r>
        <w:t xml:space="preserve">Identification des </w:t>
      </w:r>
      <w:proofErr w:type="spellStart"/>
      <w:r>
        <w:t>beacons</w:t>
      </w:r>
      <w:proofErr w:type="spellEnd"/>
    </w:p>
    <w:p w:rsidR="00C66C36" w:rsidRPr="00C66C36" w:rsidRDefault="00C66C36" w:rsidP="00C66C36"/>
    <w:p w:rsidR="0027635F" w:rsidRDefault="0027635F" w:rsidP="0027635F">
      <w:r>
        <w:t xml:space="preserve">La partie la plus stable des </w:t>
      </w:r>
      <w:proofErr w:type="spellStart"/>
      <w:r>
        <w:t>beacons</w:t>
      </w:r>
      <w:proofErr w:type="spellEnd"/>
      <w:r>
        <w:t xml:space="preserve">  est la MAC adresse. Nous avons décidé de les identifier avec leur MAC adresse. Cependant pour faciliter la vie des humains, nous avons associé à chaque MAC un petit nom.</w:t>
      </w:r>
    </w:p>
    <w:tbl>
      <w:tblPr>
        <w:tblW w:w="381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6"/>
        <w:gridCol w:w="1696"/>
      </w:tblGrid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MAC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petit nom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fr-CH"/>
              </w:rPr>
            </w:pPr>
            <w:r w:rsidRPr="0027635F">
              <w:rPr>
                <w:rFonts w:ascii="Calibri" w:eastAsia="Times New Roman" w:hAnsi="Calibri" w:cs="Times New Roman"/>
                <w:lang w:val="en-US" w:eastAsia="fr-CH"/>
              </w:rPr>
              <w:t>ca:a4:ed:2f:bc:cf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A107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ca:bf:14:f6:65:05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A100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ca:e9:b3:99:36:b8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A102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cb:d1:5a:06:b3:d7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B17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d3:2f:15:72:d8:78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B13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d7:55:9e:74:b4:de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B107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e9:29:dd:cf:84:25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A103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e9:ac:b2:63:c4:60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A101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ee:de:49:ce:f4:d3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B16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f0:c9:</w:t>
            </w:r>
            <w:proofErr w:type="spellStart"/>
            <w:r w:rsidRPr="0027635F">
              <w:rPr>
                <w:rFonts w:ascii="Calibri" w:eastAsia="Times New Roman" w:hAnsi="Calibri" w:cs="Times New Roman"/>
                <w:lang w:eastAsia="fr-CH"/>
              </w:rPr>
              <w:t>a</w:t>
            </w:r>
            <w:proofErr w:type="spellEnd"/>
            <w:r w:rsidRPr="0027635F">
              <w:rPr>
                <w:rFonts w:ascii="Calibri" w:eastAsia="Times New Roman" w:hAnsi="Calibri" w:cs="Times New Roman"/>
                <w:lang w:eastAsia="fr-CH"/>
              </w:rPr>
              <w:t>8:12:b1:9e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B108</w:t>
            </w:r>
          </w:p>
        </w:tc>
      </w:tr>
      <w:tr w:rsidR="0027635F" w:rsidRPr="0027635F" w:rsidTr="0027635F">
        <w:trPr>
          <w:trHeight w:val="288"/>
        </w:trPr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f4:74:81:e4:0d:bc</w:t>
            </w:r>
          </w:p>
        </w:tc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  <w:shd w:val="clear" w:color="000000" w:fill="C5D9F1"/>
            <w:noWrap/>
            <w:vAlign w:val="bottom"/>
            <w:hideMark/>
          </w:tcPr>
          <w:p w:rsidR="0027635F" w:rsidRPr="0027635F" w:rsidRDefault="0027635F" w:rsidP="0027635F">
            <w:pPr>
              <w:spacing w:after="0" w:line="240" w:lineRule="auto"/>
              <w:rPr>
                <w:rFonts w:ascii="Calibri" w:eastAsia="Times New Roman" w:hAnsi="Calibri" w:cs="Times New Roman"/>
                <w:lang w:eastAsia="fr-CH"/>
              </w:rPr>
            </w:pPr>
            <w:r w:rsidRPr="0027635F">
              <w:rPr>
                <w:rFonts w:ascii="Calibri" w:eastAsia="Times New Roman" w:hAnsi="Calibri" w:cs="Times New Roman"/>
                <w:lang w:eastAsia="fr-CH"/>
              </w:rPr>
              <w:t>B11</w:t>
            </w:r>
          </w:p>
        </w:tc>
      </w:tr>
    </w:tbl>
    <w:p w:rsidR="00C66C36" w:rsidRDefault="00C66C36" w:rsidP="00C66C36">
      <w:pPr>
        <w:pStyle w:val="Titre1"/>
      </w:pPr>
      <w:r>
        <w:t>Log des écoutes</w:t>
      </w:r>
    </w:p>
    <w:p w:rsidR="00C66C36" w:rsidRDefault="00C66C36" w:rsidP="0027635F">
      <w:r>
        <w:t xml:space="preserve">Chaque récepteur crée un log avec toutes émissions des </w:t>
      </w:r>
      <w:proofErr w:type="spellStart"/>
      <w:r>
        <w:t>beacons</w:t>
      </w:r>
      <w:proofErr w:type="spellEnd"/>
      <w:r>
        <w:t xml:space="preserve"> qu’il a capté.</w:t>
      </w:r>
    </w:p>
    <w:p w:rsidR="00C66C36" w:rsidRDefault="00C66C36" w:rsidP="0027635F">
      <w:r>
        <w:t>Ce fichier a la forme suivante :</w:t>
      </w:r>
    </w:p>
    <w:p w:rsidR="0027635F" w:rsidRDefault="0027635F" w:rsidP="0027635F">
      <w:r>
        <w:rPr>
          <w:noProof/>
          <w:lang w:eastAsia="fr-CH"/>
        </w:rPr>
        <w:drawing>
          <wp:inline distT="0" distB="0" distL="0" distR="0">
            <wp:extent cx="5753100" cy="579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6C36" w:rsidRDefault="00295E1F" w:rsidP="0027635F">
      <w:pPr>
        <w:rPr>
          <w:b/>
        </w:rPr>
      </w:pPr>
      <w:r w:rsidRPr="00295E1F">
        <w:rPr>
          <w:b/>
        </w:rPr>
        <w:t>Signification des champs</w:t>
      </w:r>
      <w:r>
        <w:rPr>
          <w:b/>
        </w:rPr>
        <w:t> :</w:t>
      </w:r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951"/>
        <w:gridCol w:w="7261"/>
      </w:tblGrid>
      <w:tr w:rsidR="00295E1F" w:rsidTr="00692C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Default="00295E1F" w:rsidP="0027635F">
            <w:pPr>
              <w:rPr>
                <w:b w:val="0"/>
              </w:rPr>
            </w:pPr>
            <w:r>
              <w:rPr>
                <w:b w:val="0"/>
              </w:rPr>
              <w:t>Nom du champ</w:t>
            </w:r>
          </w:p>
        </w:tc>
        <w:tc>
          <w:tcPr>
            <w:tcW w:w="7261" w:type="dxa"/>
          </w:tcPr>
          <w:p w:rsidR="00295E1F" w:rsidRDefault="00692CA2" w:rsidP="002763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E</w:t>
            </w:r>
            <w:r w:rsidR="00295E1F">
              <w:rPr>
                <w:b w:val="0"/>
              </w:rPr>
              <w:t>xplication</w:t>
            </w:r>
          </w:p>
        </w:tc>
      </w:tr>
      <w:tr w:rsidR="00295E1F" w:rsidTr="0069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t>ID-RECEPT</w:t>
            </w:r>
          </w:p>
        </w:tc>
        <w:tc>
          <w:tcPr>
            <w:tcW w:w="7261" w:type="dxa"/>
          </w:tcPr>
          <w:p w:rsidR="00295E1F" w:rsidRDefault="00692CA2" w:rsidP="0027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Cette valeur dénote l’identifiant du récepteur (voir schéma)</w:t>
            </w:r>
          </w:p>
        </w:tc>
      </w:tr>
      <w:tr w:rsidR="00295E1F" w:rsidTr="0069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proofErr w:type="spellStart"/>
            <w:r w:rsidRPr="00692CA2">
              <w:t>timestamp</w:t>
            </w:r>
            <w:proofErr w:type="spellEnd"/>
          </w:p>
        </w:tc>
        <w:tc>
          <w:tcPr>
            <w:tcW w:w="7261" w:type="dxa"/>
          </w:tcPr>
          <w:p w:rsidR="00295E1F" w:rsidRDefault="00692CA2" w:rsidP="00276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Cette valeur dénote la durée depuis l’époque (</w:t>
            </w:r>
            <w:r w:rsidRPr="00692CA2">
              <w:rPr>
                <w:b/>
              </w:rPr>
              <w:t xml:space="preserve">sous </w:t>
            </w:r>
            <w:hyperlink r:id="rId9" w:tooltip="UNIX" w:history="1">
              <w:r w:rsidRPr="00692CA2">
                <w:rPr>
                  <w:b/>
                </w:rPr>
                <w:t>UNIX</w:t>
              </w:r>
            </w:hyperlink>
            <w:r w:rsidRPr="00692CA2">
              <w:rPr>
                <w:b/>
              </w:rPr>
              <w:t xml:space="preserve">, c'est le </w:t>
            </w:r>
            <w:hyperlink r:id="rId10" w:tooltip="1er janvier" w:history="1">
              <w:r w:rsidRPr="00692CA2">
                <w:rPr>
                  <w:b/>
                </w:rPr>
                <w:t>1er janvier</w:t>
              </w:r>
            </w:hyperlink>
            <w:r w:rsidRPr="00692CA2">
              <w:rPr>
                <w:b/>
              </w:rPr>
              <w:t xml:space="preserve"> </w:t>
            </w:r>
            <w:hyperlink r:id="rId11" w:tooltip="1970" w:history="1">
              <w:r w:rsidRPr="00692CA2">
                <w:rPr>
                  <w:b/>
                </w:rPr>
                <w:t>1970</w:t>
              </w:r>
            </w:hyperlink>
            <w:r w:rsidRPr="00692CA2">
              <w:rPr>
                <w:b/>
              </w:rPr>
              <w:t xml:space="preserve"> à 0 heure </w:t>
            </w:r>
            <w:hyperlink r:id="rId12" w:tooltip="Temps universel coordonné" w:history="1">
              <w:r w:rsidRPr="00692CA2">
                <w:rPr>
                  <w:b/>
                </w:rPr>
                <w:t>(UTC)</w:t>
              </w:r>
            </w:hyperlink>
            <w:r>
              <w:rPr>
                <w:b/>
              </w:rPr>
              <w:t>) en milli secondes.</w:t>
            </w:r>
          </w:p>
        </w:tc>
      </w:tr>
      <w:tr w:rsidR="00295E1F" w:rsidTr="0069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t>MAC</w:t>
            </w:r>
          </w:p>
        </w:tc>
        <w:tc>
          <w:tcPr>
            <w:tcW w:w="7261" w:type="dxa"/>
          </w:tcPr>
          <w:p w:rsidR="00295E1F" w:rsidRDefault="004C20B1" w:rsidP="004C20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Cette valeur déno</w:t>
            </w:r>
            <w:r w:rsidRPr="004C20B1">
              <w:rPr>
                <w:b/>
              </w:rPr>
              <w:t>te l’</w:t>
            </w:r>
            <w:r w:rsidRPr="004C20B1">
              <w:rPr>
                <w:b/>
              </w:rPr>
              <w:t>adresse MAC (</w:t>
            </w:r>
            <w:hyperlink r:id="rId13" w:tooltip="Contrôle d'accès au support" w:history="1">
              <w:r w:rsidRPr="004C20B1">
                <w:rPr>
                  <w:b/>
                </w:rPr>
                <w:t>Media Access Control</w:t>
              </w:r>
            </w:hyperlink>
            <w:hyperlink r:id="rId14" w:anchor="cite_note-1" w:history="1">
              <w:r w:rsidRPr="004C20B1">
                <w:rPr>
                  <w:b/>
                  <w:vanish/>
                </w:rPr>
                <w:t>[</w:t>
              </w:r>
              <w:r w:rsidRPr="004C20B1">
                <w:rPr>
                  <w:b/>
                </w:rPr>
                <w:t>1</w:t>
              </w:r>
              <w:r w:rsidRPr="004C20B1">
                <w:rPr>
                  <w:b/>
                  <w:vanish/>
                </w:rPr>
                <w:t>]</w:t>
              </w:r>
            </w:hyperlink>
            <w:r w:rsidRPr="004C20B1">
              <w:rPr>
                <w:b/>
              </w:rPr>
              <w:t xml:space="preserve">) de l’émetteur du signal </w:t>
            </w:r>
            <w:proofErr w:type="spellStart"/>
            <w:r w:rsidRPr="004C20B1">
              <w:rPr>
                <w:b/>
              </w:rPr>
              <w:t>bluetooth</w:t>
            </w:r>
            <w:proofErr w:type="spellEnd"/>
          </w:p>
        </w:tc>
      </w:tr>
      <w:tr w:rsidR="00295E1F" w:rsidTr="0069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t>UUID</w:t>
            </w:r>
          </w:p>
        </w:tc>
        <w:tc>
          <w:tcPr>
            <w:tcW w:w="7261" w:type="dxa"/>
          </w:tcPr>
          <w:p w:rsidR="00295E1F" w:rsidRPr="004C20B1" w:rsidRDefault="004C20B1" w:rsidP="00276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C20B1">
              <w:rPr>
                <w:b/>
              </w:rPr>
              <w:t>Cette valeur dénote l’</w:t>
            </w:r>
            <w:r w:rsidRPr="004C20B1">
              <w:rPr>
                <w:b/>
                <w:lang w:val="fr-FR"/>
              </w:rPr>
              <w:t>Universal Unique Identifier</w:t>
            </w:r>
            <w:r w:rsidRPr="004C20B1">
              <w:rPr>
                <w:b/>
                <w:lang w:val="fr-FR"/>
              </w:rPr>
              <w:t xml:space="preserve">. Cette valeur peut être </w:t>
            </w:r>
            <w:proofErr w:type="gramStart"/>
            <w:r w:rsidRPr="004C20B1">
              <w:rPr>
                <w:b/>
                <w:lang w:val="fr-FR"/>
              </w:rPr>
              <w:t>utilisé</w:t>
            </w:r>
            <w:proofErr w:type="gramEnd"/>
            <w:r w:rsidRPr="004C20B1">
              <w:rPr>
                <w:b/>
                <w:lang w:val="fr-FR"/>
              </w:rPr>
              <w:t xml:space="preserve"> comme ID pour les </w:t>
            </w:r>
            <w:proofErr w:type="spellStart"/>
            <w:r w:rsidRPr="004C20B1">
              <w:rPr>
                <w:b/>
                <w:lang w:val="fr-FR"/>
              </w:rPr>
              <w:t>beacons</w:t>
            </w:r>
            <w:proofErr w:type="spellEnd"/>
            <w:r w:rsidRPr="004C20B1">
              <w:rPr>
                <w:b/>
                <w:lang w:val="fr-FR"/>
              </w:rPr>
              <w:t>.</w:t>
            </w:r>
          </w:p>
        </w:tc>
      </w:tr>
      <w:tr w:rsidR="00295E1F" w:rsidTr="0069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t>Major</w:t>
            </w:r>
          </w:p>
        </w:tc>
        <w:tc>
          <w:tcPr>
            <w:tcW w:w="7261" w:type="dxa"/>
          </w:tcPr>
          <w:p w:rsidR="00295E1F" w:rsidRDefault="004C20B1" w:rsidP="0027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Cette valeur est libre et configurable. Elle peut être </w:t>
            </w:r>
            <w:proofErr w:type="gramStart"/>
            <w:r>
              <w:rPr>
                <w:b/>
              </w:rPr>
              <w:t>associé</w:t>
            </w:r>
            <w:proofErr w:type="gramEnd"/>
            <w:r>
              <w:rPr>
                <w:b/>
              </w:rPr>
              <w:t xml:space="preserve"> à un groupe ou un type particulier. Elle dépend du contexte.</w:t>
            </w:r>
          </w:p>
        </w:tc>
      </w:tr>
      <w:tr w:rsidR="00295E1F" w:rsidTr="0069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lastRenderedPageBreak/>
              <w:t>Minor</w:t>
            </w:r>
          </w:p>
        </w:tc>
        <w:tc>
          <w:tcPr>
            <w:tcW w:w="7261" w:type="dxa"/>
          </w:tcPr>
          <w:p w:rsidR="00295E1F" w:rsidRDefault="004C20B1" w:rsidP="002763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Cette valeur est libre et configurable. Elle peut être </w:t>
            </w:r>
            <w:r w:rsidR="008821A5">
              <w:rPr>
                <w:b/>
              </w:rPr>
              <w:t>associée</w:t>
            </w:r>
            <w:r>
              <w:rPr>
                <w:b/>
              </w:rPr>
              <w:t xml:space="preserve"> à un </w:t>
            </w:r>
            <w:r>
              <w:rPr>
                <w:b/>
              </w:rPr>
              <w:t>sous-</w:t>
            </w:r>
            <w:r>
              <w:rPr>
                <w:b/>
              </w:rPr>
              <w:t>groupe ou un type particulier. Elle dépend du contexte.</w:t>
            </w:r>
          </w:p>
        </w:tc>
      </w:tr>
      <w:tr w:rsidR="00295E1F" w:rsidRPr="008821A5" w:rsidTr="0069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295E1F" w:rsidP="0027635F">
            <w:r w:rsidRPr="00692CA2">
              <w:t>RSSI</w:t>
            </w:r>
          </w:p>
        </w:tc>
        <w:tc>
          <w:tcPr>
            <w:tcW w:w="7261" w:type="dxa"/>
          </w:tcPr>
          <w:p w:rsidR="00295E1F" w:rsidRPr="008821A5" w:rsidRDefault="008821A5" w:rsidP="002763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20B1">
              <w:rPr>
                <w:b/>
              </w:rPr>
              <w:t xml:space="preserve">Cette valeur dénote </w:t>
            </w:r>
            <w:r w:rsidRPr="008821A5">
              <w:rPr>
                <w:b/>
              </w:rPr>
              <w:t xml:space="preserve">le </w:t>
            </w:r>
            <w:proofErr w:type="spellStart"/>
            <w:r w:rsidRPr="008821A5">
              <w:rPr>
                <w:b/>
                <w:bCs/>
              </w:rPr>
              <w:t>Received</w:t>
            </w:r>
            <w:proofErr w:type="spellEnd"/>
            <w:r w:rsidRPr="008821A5">
              <w:rPr>
                <w:b/>
                <w:bCs/>
              </w:rPr>
              <w:t xml:space="preserve"> Signal </w:t>
            </w:r>
            <w:proofErr w:type="spellStart"/>
            <w:r w:rsidRPr="008821A5">
              <w:rPr>
                <w:b/>
                <w:bCs/>
              </w:rPr>
              <w:t>Strength</w:t>
            </w:r>
            <w:proofErr w:type="spellEnd"/>
            <w:r w:rsidRPr="008821A5">
              <w:rPr>
                <w:b/>
                <w:bCs/>
              </w:rPr>
              <w:t xml:space="preserve"> Indication</w:t>
            </w:r>
            <w:r w:rsidRPr="008821A5">
              <w:rPr>
                <w:b/>
                <w:bCs/>
              </w:rPr>
              <w:t>, dans le cas des BLE est la valeur du signal à 1 mètre.</w:t>
            </w:r>
            <w:r>
              <w:rPr>
                <w:b/>
                <w:bCs/>
              </w:rPr>
              <w:t xml:space="preserve"> A noter que cette valeur peut ne pas être renseignée.</w:t>
            </w:r>
          </w:p>
        </w:tc>
      </w:tr>
      <w:tr w:rsidR="00295E1F" w:rsidTr="0069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295E1F" w:rsidRPr="00692CA2" w:rsidRDefault="00692CA2">
            <w:r w:rsidRPr="00692CA2">
              <w:t>A</w:t>
            </w:r>
          </w:p>
        </w:tc>
        <w:tc>
          <w:tcPr>
            <w:tcW w:w="7261" w:type="dxa"/>
          </w:tcPr>
          <w:p w:rsidR="00295E1F" w:rsidRDefault="0088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0B1">
              <w:rPr>
                <w:b/>
              </w:rPr>
              <w:t>Cette valeur dénote</w:t>
            </w:r>
            <w:r>
              <w:rPr>
                <w:b/>
              </w:rPr>
              <w:t xml:space="preserve"> la puissance du signal perçu par le récepteur</w:t>
            </w:r>
          </w:p>
        </w:tc>
      </w:tr>
      <w:tr w:rsidR="00692CA2" w:rsidTr="00692C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2CA2" w:rsidRPr="00692CA2" w:rsidRDefault="00692CA2">
            <w:r w:rsidRPr="00692CA2">
              <w:t>Tic 2</w:t>
            </w:r>
          </w:p>
        </w:tc>
        <w:tc>
          <w:tcPr>
            <w:tcW w:w="7261" w:type="dxa"/>
          </w:tcPr>
          <w:p w:rsidR="00692CA2" w:rsidRDefault="00882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20B1">
              <w:rPr>
                <w:b/>
              </w:rPr>
              <w:t>Cette valeur dénote</w:t>
            </w:r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 xml:space="preserve"> avec une définition de 2 secondes</w:t>
            </w:r>
          </w:p>
        </w:tc>
      </w:tr>
      <w:tr w:rsidR="00692CA2" w:rsidTr="00692C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692CA2" w:rsidRPr="00692CA2" w:rsidRDefault="00692CA2">
            <w:r w:rsidRPr="00692CA2">
              <w:t>Tic 10</w:t>
            </w:r>
          </w:p>
        </w:tc>
        <w:tc>
          <w:tcPr>
            <w:tcW w:w="7261" w:type="dxa"/>
          </w:tcPr>
          <w:p w:rsidR="00692CA2" w:rsidRPr="00CE5EDC" w:rsidRDefault="008821A5" w:rsidP="00882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20B1">
              <w:rPr>
                <w:b/>
              </w:rPr>
              <w:t>Cette valeur dénote</w:t>
            </w:r>
            <w:r>
              <w:rPr>
                <w:b/>
              </w:rPr>
              <w:t xml:space="preserve"> un </w:t>
            </w:r>
            <w:proofErr w:type="spellStart"/>
            <w:r>
              <w:rPr>
                <w:b/>
              </w:rPr>
              <w:t>timestamp</w:t>
            </w:r>
            <w:proofErr w:type="spellEnd"/>
            <w:r>
              <w:rPr>
                <w:b/>
              </w:rPr>
              <w:t xml:space="preserve"> avec une définition de </w:t>
            </w:r>
            <w:r>
              <w:rPr>
                <w:b/>
              </w:rPr>
              <w:t>10</w:t>
            </w:r>
            <w:r>
              <w:rPr>
                <w:b/>
              </w:rPr>
              <w:t xml:space="preserve"> secondes</w:t>
            </w:r>
          </w:p>
        </w:tc>
      </w:tr>
    </w:tbl>
    <w:p w:rsidR="00295E1F" w:rsidRDefault="00295E1F" w:rsidP="0027635F">
      <w:pPr>
        <w:rPr>
          <w:b/>
        </w:rPr>
      </w:pPr>
    </w:p>
    <w:p w:rsidR="008821A5" w:rsidRDefault="008821A5" w:rsidP="008821A5">
      <w:r>
        <w:t xml:space="preserve">Les champs qui sont à prendre en compte sont </w:t>
      </w:r>
      <w:r w:rsidRPr="00692CA2">
        <w:t>ID-RECEPT</w:t>
      </w:r>
      <w:r>
        <w:t xml:space="preserve">, </w:t>
      </w:r>
      <w:proofErr w:type="spellStart"/>
      <w:r w:rsidRPr="00692CA2">
        <w:t>timestamp</w:t>
      </w:r>
      <w:proofErr w:type="spellEnd"/>
      <w:r>
        <w:t>,</w:t>
      </w:r>
      <w:r w:rsidRPr="008821A5">
        <w:t xml:space="preserve"> </w:t>
      </w:r>
      <w:r w:rsidRPr="00692CA2">
        <w:t>MAC</w:t>
      </w:r>
      <w:r>
        <w:t xml:space="preserve">, </w:t>
      </w:r>
      <w:r w:rsidRPr="00692CA2">
        <w:t>RSSI</w:t>
      </w:r>
      <w:r>
        <w:t>, A.</w:t>
      </w:r>
    </w:p>
    <w:p w:rsidR="008821A5" w:rsidRDefault="008821A5" w:rsidP="008821A5">
      <w:r>
        <w:t xml:space="preserve">Les champs </w:t>
      </w:r>
      <w:r>
        <w:t xml:space="preserve">à ignorer (pour le moment) sont </w:t>
      </w:r>
      <w:r w:rsidRPr="00692CA2">
        <w:t>UUID</w:t>
      </w:r>
      <w:r>
        <w:t xml:space="preserve">, </w:t>
      </w:r>
      <w:r w:rsidRPr="00692CA2">
        <w:t>Major</w:t>
      </w:r>
      <w:r>
        <w:t xml:space="preserve">, </w:t>
      </w:r>
      <w:r w:rsidRPr="00692CA2">
        <w:t>Minor</w:t>
      </w:r>
      <w:r>
        <w:t>.</w:t>
      </w:r>
    </w:p>
    <w:p w:rsidR="008821A5" w:rsidRDefault="008821A5" w:rsidP="008821A5">
      <w:r>
        <w:t>Les champs</w:t>
      </w:r>
      <w:r>
        <w:t xml:space="preserve"> </w:t>
      </w:r>
      <w:r w:rsidRPr="00692CA2">
        <w:t>Tic 2</w:t>
      </w:r>
      <w:r>
        <w:t xml:space="preserve"> et </w:t>
      </w:r>
      <w:r w:rsidRPr="00692CA2">
        <w:t xml:space="preserve">Tic </w:t>
      </w:r>
      <w:r>
        <w:t>10 peuvent faciliter le regroupement des mesures.</w:t>
      </w:r>
      <w:bookmarkStart w:id="0" w:name="_GoBack"/>
      <w:bookmarkEnd w:id="0"/>
    </w:p>
    <w:p w:rsidR="008821A5" w:rsidRDefault="008821A5" w:rsidP="008821A5"/>
    <w:p w:rsidR="008821A5" w:rsidRPr="00295E1F" w:rsidRDefault="008821A5" w:rsidP="0027635F">
      <w:pPr>
        <w:rPr>
          <w:b/>
        </w:rPr>
      </w:pPr>
    </w:p>
    <w:p w:rsidR="00295E1F" w:rsidRDefault="00295E1F" w:rsidP="0027635F"/>
    <w:p w:rsidR="00C66C36" w:rsidRDefault="00C66C36" w:rsidP="0027635F"/>
    <w:p w:rsidR="0027635F" w:rsidRDefault="0027635F" w:rsidP="0027635F"/>
    <w:p w:rsidR="0027635F" w:rsidRDefault="0027635F" w:rsidP="0027635F"/>
    <w:sectPr w:rsidR="002763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E3A63"/>
    <w:multiLevelType w:val="hybridMultilevel"/>
    <w:tmpl w:val="42AC50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79A"/>
    <w:rsid w:val="0027635F"/>
    <w:rsid w:val="0028079A"/>
    <w:rsid w:val="00295E1F"/>
    <w:rsid w:val="004C20B1"/>
    <w:rsid w:val="00692CA2"/>
    <w:rsid w:val="008821A5"/>
    <w:rsid w:val="00C66C36"/>
    <w:rsid w:val="00D41935"/>
    <w:rsid w:val="00DF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1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419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3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9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95E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95E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295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692CA2"/>
    <w:rPr>
      <w:color w:val="0000FF"/>
      <w:u w:val="single"/>
    </w:rPr>
  </w:style>
  <w:style w:type="character" w:customStyle="1" w:styleId="citecrochet1">
    <w:name w:val="cite_crochet1"/>
    <w:basedOn w:val="Policepardfaut"/>
    <w:rsid w:val="004C20B1"/>
    <w:rPr>
      <w:vanish/>
      <w:webHidden w:val="0"/>
      <w:specVanish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419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19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419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76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63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95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295E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95E1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eclaire-Accent1">
    <w:name w:val="Light List Accent 1"/>
    <w:basedOn w:val="TableauNormal"/>
    <w:uiPriority w:val="61"/>
    <w:rsid w:val="00295E1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Lienhypertexte">
    <w:name w:val="Hyperlink"/>
    <w:basedOn w:val="Policepardfaut"/>
    <w:uiPriority w:val="99"/>
    <w:semiHidden/>
    <w:unhideWhenUsed/>
    <w:rsid w:val="00692CA2"/>
    <w:rPr>
      <w:color w:val="0000FF"/>
      <w:u w:val="single"/>
    </w:rPr>
  </w:style>
  <w:style w:type="character" w:customStyle="1" w:styleId="citecrochet1">
    <w:name w:val="cite_crochet1"/>
    <w:basedOn w:val="Policepardfaut"/>
    <w:rsid w:val="004C20B1"/>
    <w:rPr>
      <w:vanish/>
      <w:webHidden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fr.wikipedia.org/wiki/Contr%C3%B4le_d%27acc%C3%A8s_au_support" TargetMode="Externa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hyperlink" Target="https://fr.wikipedia.org/wiki/Temps_universel_coordonn%C3%A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hyperlink" Target="https://fr.wikipedia.org/wiki/197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fr.wikipedia.org/wiki/1er_janv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r.wikipedia.org/wiki/UNIX" TargetMode="External"/><Relationship Id="rId14" Type="http://schemas.openxmlformats.org/officeDocument/2006/relationships/hyperlink" Target="https://fr.wikipedia.org/wiki/Adresse_MA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guyot</dc:creator>
  <cp:keywords/>
  <dc:description/>
  <cp:lastModifiedBy>jacques guyot</cp:lastModifiedBy>
  <cp:revision>4</cp:revision>
  <dcterms:created xsi:type="dcterms:W3CDTF">2016-05-03T21:17:00Z</dcterms:created>
  <dcterms:modified xsi:type="dcterms:W3CDTF">2016-05-03T22:19:00Z</dcterms:modified>
</cp:coreProperties>
</file>