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Carta de Serviços do CRP SP</w:t>
      </w:r>
    </w:p>
    <w:p>
      <w:pPr>
        <w:pStyle w:val="Author"/>
      </w:pPr>
      <w:r>
        <w:t xml:space="preserve">Coordenação de Comunicação do CRP SP</w:t>
      </w:r>
    </w:p>
    <w:bookmarkStart w:id="22" w:name="lista-de-siglas"/>
    <w:p>
      <w:pPr>
        <w:pStyle w:val="Heading1"/>
      </w:pPr>
      <w:r>
        <w:t xml:space="preserve">Lista de siglas</w:t>
      </w:r>
    </w:p>
    <w:bookmarkStart w:id="20" w:name="sistema-conselhos-de-psicologia"/>
    <w:p>
      <w:pPr>
        <w:pStyle w:val="Heading2"/>
      </w:pPr>
      <w:r>
        <w:t xml:space="preserve">Sistema Conselhos de Psicologia</w:t>
      </w:r>
    </w:p>
    <w:p>
      <w:pPr>
        <w:pStyle w:val="FirstParagraph"/>
      </w:pPr>
      <w:r>
        <w:t xml:space="preserve">[CRP-06]</w:t>
      </w:r>
      <w:r>
        <w:t xml:space="preserve">Conselho Regional de Psicologia da 6ª Região</w:t>
      </w:r>
      <w:r>
        <w:t xml:space="preserve"> </w:t>
      </w:r>
      <w:r>
        <w:t xml:space="preserve">[CRP SP]</w:t>
      </w:r>
      <w:r>
        <w:t xml:space="preserve">Conselho Regional de Psicologia de São Paulo</w:t>
      </w:r>
    </w:p>
    <w:bookmarkEnd w:id="20"/>
    <w:bookmarkStart w:id="21" w:name="comissões-do-crp-sp"/>
    <w:p>
      <w:pPr>
        <w:pStyle w:val="Heading2"/>
      </w:pPr>
      <w:r>
        <w:t xml:space="preserve">Comissões do CRP SP</w:t>
      </w:r>
    </w:p>
    <w:p>
      <w:pPr>
        <w:pStyle w:val="FirstParagraph"/>
      </w:pPr>
      <w:r>
        <w:t xml:space="preserve">[Caci]</w:t>
      </w:r>
      <w:r>
        <w:t xml:space="preserve">Comissão de Auditoria e Controle Interno</w:t>
      </w:r>
      <w:r>
        <w:t xml:space="preserve"> </w:t>
      </w:r>
      <w:r>
        <w:t xml:space="preserve">[CamCoe]</w:t>
      </w:r>
      <w:r>
        <w:t xml:space="preserve">Câmara de Mediação da COE</w:t>
      </w:r>
      <w:r>
        <w:t xml:space="preserve"> </w:t>
      </w:r>
      <w:r>
        <w:t xml:space="preserve">[Carpe]</w:t>
      </w:r>
      <w:r>
        <w:t xml:space="preserve">Comissão de Análise de Registro de Psicólogo/a Especialista</w:t>
      </w:r>
      <w:r>
        <w:t xml:space="preserve"> </w:t>
      </w:r>
      <w:r>
        <w:t xml:space="preserve">[CDH]</w:t>
      </w:r>
      <w:r>
        <w:t xml:space="preserve">Comissão Especial de Direitos Humanos</w:t>
      </w:r>
      <w:r>
        <w:t xml:space="preserve"> </w:t>
      </w:r>
      <w:r>
        <w:t xml:space="preserve">[CHM]</w:t>
      </w:r>
      <w:r>
        <w:t xml:space="preserve">Comissão Especial de História e Memória da Psicologia</w:t>
      </w:r>
      <w:r>
        <w:t xml:space="preserve"> </w:t>
      </w:r>
      <w:r>
        <w:t xml:space="preserve">[CL]</w:t>
      </w:r>
      <w:r>
        <w:t xml:space="preserve">Comissão Permanente de Licitação</w:t>
      </w:r>
      <w:r>
        <w:t xml:space="preserve"> </w:t>
      </w:r>
      <w:r>
        <w:t xml:space="preserve">[COE]</w:t>
      </w:r>
      <w:r>
        <w:t xml:space="preserve">Comissão de Ética</w:t>
      </w:r>
      <w:r>
        <w:t xml:space="preserve"> </w:t>
      </w:r>
      <w:r>
        <w:t xml:space="preserve">[COF]</w:t>
      </w:r>
      <w:r>
        <w:t xml:space="preserve">Comissão de Orientação e Fiscalização</w:t>
      </w:r>
      <w:r>
        <w:t xml:space="preserve"> </w:t>
      </w:r>
      <w:r>
        <w:t xml:space="preserve">[ComCom]</w:t>
      </w:r>
      <w:r>
        <w:t xml:space="preserve">Comissão de Comunicação</w:t>
      </w:r>
      <w:r>
        <w:t xml:space="preserve"> </w:t>
      </w:r>
      <w:r>
        <w:t xml:space="preserve">[CPLC]</w:t>
      </w:r>
      <w:r>
        <w:t xml:space="preserve">Comissão Especial Processo Legislativo e Concursos</w:t>
      </w:r>
      <w:r>
        <w:t xml:space="preserve"> </w:t>
      </w:r>
      <w:r>
        <w:t xml:space="preserve">[Crepop]</w:t>
      </w:r>
      <w:r>
        <w:t xml:space="preserve">Centro de Referências Técnicas em Psicologia e Políticas Públicas</w:t>
      </w:r>
      <w:r>
        <w:t xml:space="preserve"> </w:t>
      </w:r>
      <w:r>
        <w:t xml:space="preserve">[Cred]</w:t>
      </w:r>
      <w:r>
        <w:t xml:space="preserve">Comissão Especial Riscos, Emergências e Desastres</w:t>
      </w:r>
      <w:r>
        <w:t xml:space="preserve"> </w:t>
      </w:r>
      <w:r>
        <w:t xml:space="preserve">[Crer]</w:t>
      </w:r>
      <w:r>
        <w:t xml:space="preserve">Comissão Especial Relações Étnico-Raciais</w:t>
      </w:r>
    </w:p>
    <w:bookmarkEnd w:id="21"/>
    <w:bookmarkEnd w:id="22"/>
    <w:bookmarkStart w:id="25" w:name="apresentação-institucional"/>
    <w:p>
      <w:pPr>
        <w:pStyle w:val="Heading1"/>
      </w:pPr>
      <w:r>
        <w:t xml:space="preserve">Apresentação institucional</w:t>
      </w:r>
    </w:p>
    <w:bookmarkStart w:id="23" w:name="apresentação"/>
    <w:p>
      <w:pPr>
        <w:pStyle w:val="Heading2"/>
      </w:pPr>
      <w:r>
        <w:t xml:space="preserve">Apresentação</w:t>
      </w:r>
    </w:p>
    <w:bookmarkEnd w:id="23"/>
    <w:bookmarkStart w:id="24" w:name="memória-institucional"/>
    <w:p>
      <w:pPr>
        <w:pStyle w:val="Heading2"/>
      </w:pPr>
      <w:r>
        <w:t xml:space="preserve">Memória institucional</w:t>
      </w:r>
    </w:p>
    <w:bookmarkEnd w:id="24"/>
    <w:bookmarkEnd w:id="25"/>
    <w:bookmarkStart w:id="68" w:name="introdução"/>
    <w:p>
      <w:pPr>
        <w:pStyle w:val="Heading1"/>
      </w:pPr>
      <w:r>
        <w:t xml:space="preserve">Introdução</w:t>
      </w:r>
    </w:p>
    <w:bookmarkStart w:id="26" w:name="estrutura-de-comunicação-do-crp-sp"/>
    <w:p>
      <w:pPr>
        <w:pStyle w:val="Heading2"/>
      </w:pPr>
      <w:r>
        <w:t xml:space="preserve">Estrutura de comunicação do CRP SP</w:t>
      </w:r>
    </w:p>
    <w:p>
      <w:pPr>
        <w:pStyle w:val="FirstParagraph"/>
      </w:pPr>
      <w:r>
        <w:t xml:space="preserve">A estrutura de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compreende a</w:t>
      </w:r>
      <w:r>
        <w:t xml:space="preserve"> </w:t>
      </w:r>
      <w:r>
        <w:t xml:space="preserve">comcom</w:t>
      </w:r>
      <w:r>
        <w:t xml:space="preserve"> </w:t>
      </w:r>
      <w:r>
        <w:t xml:space="preserve">e a Coordenação de Comunicação.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comcom</w:t>
      </w:r>
      <w:r>
        <w:t xml:space="preserve"> </w:t>
      </w:r>
      <w:r>
        <w:t xml:space="preserve">é o órgão político da comunicação do</w:t>
      </w:r>
      <w:r>
        <w:t xml:space="preserve"> </w:t>
      </w:r>
      <w:r>
        <w:t xml:space="preserve">crp</w:t>
      </w:r>
      <w:r>
        <w:t xml:space="preserve">, e tem caráter deliberativo.</w:t>
      </w:r>
    </w:p>
    <w:p>
      <w:pPr>
        <w:pStyle w:val="BodyText"/>
      </w:pPr>
      <w:r>
        <w:t xml:space="preserve">A Coordenação de Comunicação é o órgão técnico da comunicação do</w:t>
      </w:r>
      <w:r>
        <w:t xml:space="preserve"> </w:t>
      </w:r>
      <w:r>
        <w:t xml:space="preserve">crp</w:t>
      </w:r>
      <w:r>
        <w:t xml:space="preserve">. Tem autonomia para propor e implementar soluções técnicas para demandas da</w:t>
      </w:r>
      <w:r>
        <w:t xml:space="preserve"> </w:t>
      </w:r>
      <w:r>
        <w:t xml:space="preserve">comcom</w:t>
      </w:r>
      <w:r>
        <w:t xml:space="preserve">.</w:t>
      </w:r>
    </w:p>
    <w:p>
      <w:pPr>
        <w:pStyle w:val="BodyText"/>
      </w:pPr>
      <w:r>
        <w:t xml:space="preserve">A Coordenação de Comunicação atua nas seguintes áreas:</w:t>
      </w:r>
    </w:p>
    <w:p>
      <w:pPr>
        <w:numPr>
          <w:ilvl w:val="0"/>
          <w:numId w:val="1001"/>
        </w:numPr>
      </w:pPr>
      <w:r>
        <w:t xml:space="preserve">assessoria de imprensa;</w:t>
      </w:r>
    </w:p>
    <w:p>
      <w:pPr>
        <w:numPr>
          <w:ilvl w:val="0"/>
          <w:numId w:val="1001"/>
        </w:numPr>
      </w:pPr>
      <w:r>
        <w:t xml:space="preserve">cobertura de eventos;</w:t>
      </w:r>
    </w:p>
    <w:p>
      <w:pPr>
        <w:numPr>
          <w:ilvl w:val="0"/>
          <w:numId w:val="1001"/>
        </w:numPr>
      </w:pPr>
      <w:r>
        <w:t xml:space="preserve">editorial;</w:t>
      </w:r>
    </w:p>
    <w:p>
      <w:pPr>
        <w:numPr>
          <w:ilvl w:val="0"/>
          <w:numId w:val="1001"/>
        </w:numPr>
      </w:pPr>
      <w:r>
        <w:t xml:space="preserve">mídias sociais;</w:t>
      </w:r>
    </w:p>
    <w:bookmarkEnd w:id="26"/>
    <w:bookmarkStart w:id="30" w:name="conceitos-e-objetivos"/>
    <w:p>
      <w:pPr>
        <w:pStyle w:val="Heading2"/>
      </w:pPr>
      <w:r>
        <w:t xml:space="preserve">Conceitos e objetivos</w:t>
      </w:r>
    </w:p>
    <w:bookmarkStart w:id="27" w:name="conceito-de-política-de-comunicação"/>
    <w:p>
      <w:pPr>
        <w:pStyle w:val="Heading3"/>
      </w:pPr>
      <w:r>
        <w:t xml:space="preserve">Conceito de política de comunicação</w:t>
      </w:r>
    </w:p>
    <w:p>
      <w:pPr>
        <w:pStyle w:val="FirstParagraph"/>
      </w:pPr>
      <w:r>
        <w:t xml:space="preserve">É o documento reúne princípios, orientações e recomendações para guiar a atuação dos profissionais de comunicação, alinhado à missão, visão e valores do</w:t>
      </w:r>
      <w:r>
        <w:t xml:space="preserve"> </w:t>
      </w:r>
      <w:r>
        <w:t xml:space="preserve">crp</w:t>
      </w:r>
      <w:r>
        <w:t xml:space="preserve">. Seu objetivo é definir as diretrizes principais para o relacionamento com os públicos de interesse, bem como para o alcance dos objetivos e resultados das ações de comunicação de maneira coordenada, regulamentada e integrada.</w:t>
      </w:r>
    </w:p>
    <w:bookmarkEnd w:id="27"/>
    <w:bookmarkStart w:id="28" w:name="conceito-de-comunicação-institucional"/>
    <w:p>
      <w:pPr>
        <w:pStyle w:val="Heading3"/>
      </w:pPr>
      <w:r>
        <w:t xml:space="preserve">Conceito de comunicação institucional</w:t>
      </w:r>
    </w:p>
    <w:p>
      <w:pPr>
        <w:pStyle w:val="FirstParagraph"/>
      </w:pPr>
      <w:r>
        <w:t xml:space="preserve">A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está pautada pelos princípios da ética, da responsabilidade pública, da transparência, da credibilidade e da colaboração. Materializa a voz e</w:t>
      </w:r>
      <w:r>
        <w:t xml:space="preserve"> </w:t>
      </w:r>
      <w:r>
        <w:t xml:space="preserve">‘persona’</w:t>
      </w:r>
      <w:r>
        <w:t xml:space="preserve"> </w:t>
      </w:r>
      <w:r>
        <w:t xml:space="preserve">institucionais e, por meio dela, a autarquia mantém diálogo constante com a categoria e a sociedade. Empenha-se em comunicar a diversidade e a representatividade (racial, étnica, de gênero, de corpos, etária, de territórios). Seus produtos adotam linguagem inclusiva (simples, gendrada, antirracista, anticapacitista e com recursos de acessibilidade).</w:t>
      </w:r>
    </w:p>
    <w:bookmarkEnd w:id="28"/>
    <w:bookmarkStart w:id="29" w:name="objetivos"/>
    <w:p>
      <w:pPr>
        <w:pStyle w:val="Heading3"/>
      </w:pPr>
      <w:r>
        <w:t xml:space="preserve">Objetivos</w:t>
      </w:r>
    </w:p>
    <w:p>
      <w:pPr>
        <w:pStyle w:val="FirstParagraph"/>
      </w:pPr>
      <w:r>
        <w:t xml:space="preserve">Os objetivos da Politica de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são:</w:t>
      </w:r>
    </w:p>
    <w:p>
      <w:pPr>
        <w:numPr>
          <w:ilvl w:val="0"/>
          <w:numId w:val="1002"/>
        </w:numPr>
      </w:pPr>
      <w:r>
        <w:t xml:space="preserve">fortalecer a identidade e a imagem do</w:t>
      </w:r>
      <w:r>
        <w:t xml:space="preserve"> </w:t>
      </w:r>
      <w:r>
        <w:t xml:space="preserve">crp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dar visibilidade às ações de orientação;</w:t>
      </w:r>
    </w:p>
    <w:p>
      <w:pPr>
        <w:numPr>
          <w:ilvl w:val="0"/>
          <w:numId w:val="1002"/>
        </w:numPr>
      </w:pPr>
      <w:r>
        <w:t xml:space="preserve">tornar visível o capital intelectual e social da instituição em prol do desenvolvimento da sociedade;</w:t>
      </w:r>
    </w:p>
    <w:p>
      <w:pPr>
        <w:numPr>
          <w:ilvl w:val="0"/>
          <w:numId w:val="1002"/>
        </w:numPr>
      </w:pPr>
      <w:r>
        <w:t xml:space="preserve">formalizar e orientar o relacionamento com os públicos interno e externo, aprimorando o diálogo entre estes e a autarquia;</w:t>
      </w:r>
    </w:p>
    <w:p>
      <w:pPr>
        <w:numPr>
          <w:ilvl w:val="0"/>
          <w:numId w:val="1002"/>
        </w:numPr>
      </w:pPr>
      <w:r>
        <w:t xml:space="preserve">promover transparência para as atividades da gestão por meio dos canais de comunicação institucionais, assegurando o atendimento à legislação que dispõe sobre o acesso à informação.</w:t>
      </w:r>
    </w:p>
    <w:bookmarkEnd w:id="29"/>
    <w:bookmarkEnd w:id="30"/>
    <w:bookmarkStart w:id="48" w:name="princípios-institucionais"/>
    <w:p>
      <w:pPr>
        <w:pStyle w:val="Heading2"/>
      </w:pPr>
      <w:r>
        <w:t xml:space="preserve">Princípios institucionais</w:t>
      </w:r>
    </w:p>
    <w:p>
      <w:pPr>
        <w:pStyle w:val="FirstParagraph"/>
      </w:pPr>
      <w:r>
        <w:t xml:space="preserve">Os princípios institucionais são derivados das normativas referentes ao Sistema Conselhos de Psicologia e, principalmente, do .</w:t>
      </w:r>
    </w:p>
    <w:p>
      <w:pPr>
        <w:pStyle w:val="BodyText"/>
      </w:pPr>
      <w:r>
        <w:t xml:space="preserve">Além dos princípios elencados a seguir, o Jornal Psi está sujeito ao .</w:t>
      </w:r>
    </w:p>
    <w:p>
      <w:pPr>
        <w:numPr>
          <w:ilvl w:val="0"/>
          <w:numId w:val="1003"/>
        </w:numPr>
      </w:pPr>
      <w:r>
        <w:t xml:space="preserve">interesse público;</w:t>
      </w:r>
    </w:p>
    <w:p>
      <w:pPr>
        <w:numPr>
          <w:ilvl w:val="0"/>
          <w:numId w:val="1003"/>
        </w:numPr>
      </w:pPr>
      <w:r>
        <w:t xml:space="preserve">ética;</w:t>
      </w:r>
    </w:p>
    <w:p>
      <w:pPr>
        <w:numPr>
          <w:ilvl w:val="0"/>
          <w:numId w:val="1003"/>
        </w:numPr>
      </w:pPr>
      <w:r>
        <w:t xml:space="preserve">diálogo;</w:t>
      </w:r>
    </w:p>
    <w:p>
      <w:pPr>
        <w:numPr>
          <w:ilvl w:val="0"/>
          <w:numId w:val="1003"/>
        </w:numPr>
      </w:pPr>
      <w:r>
        <w:t xml:space="preserve">transparência;</w:t>
      </w:r>
    </w:p>
    <w:p>
      <w:pPr>
        <w:numPr>
          <w:ilvl w:val="0"/>
          <w:numId w:val="1003"/>
        </w:numPr>
      </w:pPr>
      <w:r>
        <w:t xml:space="preserve">pluralidade;</w:t>
      </w:r>
    </w:p>
    <w:p>
      <w:pPr>
        <w:numPr>
          <w:ilvl w:val="0"/>
          <w:numId w:val="1003"/>
        </w:numPr>
      </w:pPr>
      <w:r>
        <w:t xml:space="preserve">diversidade;</w:t>
      </w:r>
    </w:p>
    <w:p>
      <w:pPr>
        <w:numPr>
          <w:ilvl w:val="0"/>
          <w:numId w:val="1003"/>
        </w:numPr>
      </w:pPr>
      <w:r>
        <w:t xml:space="preserve">integração;</w:t>
      </w:r>
    </w:p>
    <w:p>
      <w:pPr>
        <w:numPr>
          <w:ilvl w:val="0"/>
          <w:numId w:val="1003"/>
        </w:numPr>
      </w:pPr>
      <w:r>
        <w:t xml:space="preserve">sustentabilidade; e</w:t>
      </w:r>
    </w:p>
    <w:p>
      <w:pPr>
        <w:numPr>
          <w:ilvl w:val="0"/>
          <w:numId w:val="1003"/>
        </w:numPr>
      </w:pPr>
      <w:r>
        <w:t xml:space="preserve">acessibilidade.</w:t>
      </w:r>
    </w:p>
    <w:bookmarkStart w:id="33" w:name="respeito-e-promoção-dos-direitos-humanos"/>
    <w:p>
      <w:pPr>
        <w:pStyle w:val="Heading3"/>
      </w:pPr>
      <w:r>
        <w:t xml:space="preserve">Respeito e promoção dos Direitos Humanos</w:t>
      </w:r>
    </w:p>
    <w:bookmarkStart w:id="31" w:name="linguagem-inclusiva"/>
    <w:p>
      <w:pPr>
        <w:pStyle w:val="Heading4"/>
      </w:pPr>
      <w:r>
        <w:t xml:space="preserve">Linguagem inclusiva</w:t>
      </w:r>
    </w:p>
    <w:bookmarkEnd w:id="31"/>
    <w:bookmarkStart w:id="32" w:name="acessibilidade"/>
    <w:p>
      <w:pPr>
        <w:pStyle w:val="Heading4"/>
      </w:pPr>
      <w:r>
        <w:t xml:space="preserve">Acessibilidade</w:t>
      </w:r>
    </w:p>
    <w:p>
      <w:pPr>
        <w:pStyle w:val="FirstParagraph"/>
      </w:pPr>
      <w:r>
        <w:t xml:space="preserve">Para que pessoas com dificuldades sensoriais ou cognitivas possam usufruir de todos os produtos comunicacionais e/ou editoriais do</w:t>
      </w:r>
      <w:r>
        <w:t xml:space="preserve"> </w:t>
      </w:r>
      <w:r>
        <w:t xml:space="preserve">crp</w:t>
      </w:r>
      <w:r>
        <w:t xml:space="preserve">, é necessário planejamento e investimento em acessibilidade.</w:t>
      </w:r>
    </w:p>
    <w:p>
      <w:pPr>
        <w:pStyle w:val="BodyText"/>
      </w:pPr>
      <w:r>
        <w:t xml:space="preserve">Nossos produtos são publicados em diversos formatos: no</w:t>
      </w:r>
      <w:r>
        <w:t xml:space="preserve"> </w:t>
      </w:r>
      <w:r>
        <w:t xml:space="preserve">‘site’</w:t>
      </w:r>
      <w:r>
        <w:t xml:space="preserve">, como livro digital, na forma de postagens. Cada um desses formatos tem diretrizes específicas de acessibilidade: algumas delas são apresentadas no anexo B, seção</w:t>
      </w:r>
      <w:r>
        <w:t xml:space="preserve"> </w:t>
      </w:r>
      <w:hyperlink w:anchor="acessibilidade">
        <w:r>
          <w:rPr>
            <w:rStyle w:val="Hyperlink"/>
          </w:rPr>
          <w:t xml:space="preserve">5.10</w:t>
        </w:r>
      </w:hyperlink>
      <w:r>
        <w:t xml:space="preserve">.</w:t>
      </w:r>
    </w:p>
    <w:p>
      <w:pPr>
        <w:pStyle w:val="BodyText"/>
      </w:pPr>
      <w:r>
        <w:t xml:space="preserve">Pelos desafios que oferece à padronização e implementação de todos os produtos comunicacionais, a acessibilidade é o</w:t>
      </w:r>
      <w:r>
        <w:t xml:space="preserve"> </w:t>
      </w:r>
      <w:r>
        <w:rPr>
          <w:b/>
          <w:bCs/>
        </w:rPr>
        <w:t xml:space="preserve">princípio técnico fundamental</w:t>
      </w:r>
      <w:r>
        <w:t xml:space="preserve"> </w:t>
      </w:r>
      <w:r>
        <w:t xml:space="preserve">da comunicação do</w:t>
      </w:r>
      <w:r>
        <w:t xml:space="preserve"> </w:t>
      </w:r>
      <w:r>
        <w:t xml:space="preserve">crp</w:t>
      </w:r>
      <w:r>
        <w:t xml:space="preserve">.</w:t>
      </w:r>
    </w:p>
    <w:bookmarkEnd w:id="32"/>
    <w:bookmarkEnd w:id="33"/>
    <w:bookmarkStart w:id="35" w:name="Xae40cb1c35f35011f4038f322c1abbf6a433c6f"/>
    <w:p>
      <w:pPr>
        <w:pStyle w:val="Heading3"/>
      </w:pPr>
      <w:r>
        <w:t xml:space="preserve">Efetivação de funções precípuas do Conselho Regional de Psicologia</w:t>
      </w:r>
    </w:p>
    <w:p>
      <w:pPr>
        <w:pStyle w:val="FirstParagraph"/>
      </w:pPr>
      <w:r>
        <w:t xml:space="preserve">O</w:t>
      </w:r>
      <w:r>
        <w:t xml:space="preserve"> </w:t>
      </w:r>
      <w:hyperlink r:id="rId34">
        <w:r>
          <w:rPr>
            <w:rStyle w:val="Hyperlink"/>
          </w:rPr>
          <w:t xml:space="preserve">Código de ética profissional da/o psicólogo/a</w:t>
        </w:r>
      </w:hyperlink>
      <w:r>
        <w:t xml:space="preserve"> </w:t>
      </w:r>
      <w:r>
        <w:t xml:space="preserve">define como funções precípuas dos conselhos de Psicologia</w:t>
      </w:r>
      <w:r>
        <w:t xml:space="preserve"> </w:t>
      </w:r>
      <w:r>
        <w:t xml:space="preserve">“orientar, disciplinar, fiscalizar e zelar pela ética no exercício profssional”</w:t>
      </w:r>
      <w:r>
        <w:t xml:space="preserve">.</w:t>
      </w:r>
    </w:p>
    <w:p>
      <w:pPr>
        <w:pStyle w:val="BodyText"/>
      </w:pPr>
      <w:r>
        <w:t xml:space="preserve">Das funções precípuas dos conselhos de Psicologia, a mais intimamente ligada à Coordenação de Comunicação é a de</w:t>
      </w:r>
      <w:r>
        <w:t xml:space="preserve"> </w:t>
      </w:r>
      <w:r>
        <w:rPr>
          <w:b/>
          <w:bCs/>
        </w:rPr>
        <w:t xml:space="preserve">orientar</w:t>
      </w:r>
      <w:r>
        <w:t xml:space="preserve">. As orientações do</w:t>
      </w:r>
      <w:r>
        <w:t xml:space="preserve"> </w:t>
      </w:r>
      <w:r>
        <w:t xml:space="preserve">crp</w:t>
      </w:r>
      <w:r>
        <w:t xml:space="preserve"> </w:t>
      </w:r>
      <w:r>
        <w:t xml:space="preserve">à categoria podem ser oferecidas por meio de publicações, postagens e outros produtos comunicacionais, sem prejuízo da orientação individual oferecida pela</w:t>
      </w:r>
      <w:r>
        <w:t xml:space="preserve"> </w:t>
      </w:r>
      <w:r>
        <w:t xml:space="preserve">cof</w:t>
      </w:r>
      <w:r>
        <w:t xml:space="preserve">.</w:t>
      </w:r>
    </w:p>
    <w:p>
      <w:pPr>
        <w:pStyle w:val="BodyText"/>
      </w:pPr>
      <w:r>
        <w:t xml:space="preserve">A função de</w:t>
      </w:r>
      <w:r>
        <w:t xml:space="preserve"> </w:t>
      </w:r>
      <w:r>
        <w:rPr>
          <w:b/>
          <w:bCs/>
        </w:rPr>
        <w:t xml:space="preserve">fiscalizar</w:t>
      </w:r>
      <w:r>
        <w:t xml:space="preserve">, tipicamente exercida pela</w:t>
      </w:r>
      <w:r>
        <w:t xml:space="preserve"> </w:t>
      </w:r>
      <w:r>
        <w:t xml:space="preserve">cof</w:t>
      </w:r>
      <w:r>
        <w:t xml:space="preserve"> </w:t>
      </w:r>
      <w:r>
        <w:t xml:space="preserve">e pela</w:t>
      </w:r>
      <w:r>
        <w:t xml:space="preserve"> </w:t>
      </w:r>
      <w:r>
        <w:t xml:space="preserve">coe</w:t>
      </w:r>
      <w:r>
        <w:t xml:space="preserve">,</w:t>
      </w:r>
    </w:p>
    <w:p>
      <w:pPr>
        <w:pStyle w:val="BodyText"/>
      </w:pPr>
      <w:r>
        <w:t xml:space="preserve">Finalmente, a função de</w:t>
      </w:r>
      <w:r>
        <w:t xml:space="preserve"> </w:t>
      </w:r>
      <w:r>
        <w:rPr>
          <w:b/>
          <w:bCs/>
        </w:rPr>
        <w:t xml:space="preserve">zelar pela ética</w:t>
      </w:r>
      <w:r>
        <w:t xml:space="preserve">, trabalho característico da</w:t>
      </w:r>
      <w:r>
        <w:t xml:space="preserve"> </w:t>
      </w:r>
      <w:r>
        <w:t xml:space="preserve">coe</w:t>
      </w:r>
      <w:r>
        <w:t xml:space="preserve">,</w:t>
      </w:r>
    </w:p>
    <w:bookmarkEnd w:id="35"/>
    <w:bookmarkStart w:id="47" w:name="Xb65481fe2a51c4fe902f2c5bb251e072b65d75c"/>
    <w:p>
      <w:pPr>
        <w:pStyle w:val="Heading3"/>
      </w:pPr>
      <w:r>
        <w:t xml:space="preserve">Princípios constitucionais aplicáveis à comunicação pública</w:t>
      </w:r>
    </w:p>
    <w:p>
      <w:pPr>
        <w:pStyle w:val="FirstParagraph"/>
      </w:pPr>
      <w:r>
        <w:t xml:space="preserve">O</w:t>
      </w:r>
      <w:r>
        <w:t xml:space="preserve"> </w:t>
      </w:r>
      <w:hyperlink r:id="rId36">
        <w:r>
          <w:rPr>
            <w:rStyle w:val="Hyperlink"/>
          </w:rPr>
          <w:t xml:space="preserve">Decreto-Lei nº 200</w:t>
        </w:r>
      </w:hyperlink>
      <w:r>
        <w:t xml:space="preserve">, de 25 de fevereiro de 1967, define</w:t>
      </w:r>
      <w:r>
        <w:t xml:space="preserve"> </w:t>
      </w:r>
      <w:r>
        <w:rPr>
          <w:b/>
          <w:bCs/>
        </w:rPr>
        <w:t xml:space="preserve">autarquia</w:t>
      </w:r>
      <w:r>
        <w:t xml:space="preserve"> </w:t>
      </w:r>
      <w:r>
        <w:t xml:space="preserve">como</w:t>
      </w:r>
      <w:r>
        <w:t xml:space="preserve"> </w:t>
      </w:r>
      <w:r>
        <w:t xml:space="preserve">“o serviço autônomo, criado por lei, com personalidade jurídica, patrimônio e receita próprios, para executar atividades típicas da Administração Pública, que requeiram para seu melhor funcionamento, gestão administrativa e financeira descentralizada.”</w:t>
      </w:r>
      <w:r>
        <w:t xml:space="preserve"> </w:t>
      </w:r>
      <w:r>
        <w:t xml:space="preserve">Como autarquia, portanto, o</w:t>
      </w:r>
      <w:r>
        <w:t xml:space="preserve"> </w:t>
      </w:r>
      <w:r>
        <w:t xml:space="preserve">crp</w:t>
      </w:r>
      <w:r>
        <w:t xml:space="preserve"> </w:t>
      </w:r>
      <w:r>
        <w:t xml:space="preserve">está subordinado às normas e princípios que regem a administração pública.</w:t>
      </w:r>
    </w:p>
    <w:p>
      <w:pPr>
        <w:pStyle w:val="BodyText"/>
      </w:pPr>
      <w:r>
        <w:t xml:space="preserve">Por sua vez, o artigo 37 da</w:t>
      </w:r>
      <w:r>
        <w:t xml:space="preserve"> </w:t>
      </w:r>
      <w:hyperlink r:id="rId37">
        <w:r>
          <w:rPr>
            <w:rStyle w:val="Hyperlink"/>
          </w:rPr>
          <w:t xml:space="preserve">Constituição Federal</w:t>
        </w:r>
      </w:hyperlink>
      <w:r>
        <w:t xml:space="preserve"> </w:t>
      </w:r>
      <w:r>
        <w:t xml:space="preserve">prevê que</w:t>
      </w:r>
      <w:r>
        <w:t xml:space="preserve"> </w:t>
      </w:r>
      <w:r>
        <w:t xml:space="preserve">“A administração pública direta e indireta de qualquer dos Poderes da União, dos Estados, do Distrito Federal e dos Municípios obedecerá os princípios de legalidade, impessoalidade, moralidade, publicidade e eficiência ”</w:t>
      </w:r>
      <w:r>
        <w:t xml:space="preserve">. A aplicação desses princípios à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é elucidada a seguir.</w:t>
      </w:r>
    </w:p>
    <w:bookmarkStart w:id="41" w:name="legalidade"/>
    <w:p>
      <w:pPr>
        <w:pStyle w:val="Heading4"/>
      </w:pPr>
      <w:r>
        <w:t xml:space="preserve">Legalidade</w:t>
      </w:r>
    </w:p>
    <w:p>
      <w:pPr>
        <w:pStyle w:val="FirstParagraph"/>
      </w:pPr>
      <w:r>
        <w:t xml:space="preserve">Diferentemente de instituições privadas, às quais é permitido fazer tudo aquilo que não seja expressamente proibido em lei, às autarquias é permitido fazer apenas o que a lei prevê. De acordo com Paulo e Alexandrino,</w:t>
      </w:r>
    </w:p>
    <w:p>
      <w:pPr>
        <w:pStyle w:val="BlockText"/>
      </w:pPr>
      <w:r>
        <w:t xml:space="preserve">na prática de um ato individual, o agente público está obrigado a observar não só a lei e os princípios jurídicos, mas também os decretos, as portarias, as instruções normativas, os pareceres normativos, em suma, os atos administrativos gerais que sejam pertinentes àquela situação concreta com que se depara.</w:t>
      </w:r>
      <w:r>
        <w:rPr>
          <w:rStyle w:val="FootnoteReference"/>
        </w:rPr>
        <w:footnoteReference w:id="38"/>
      </w:r>
    </w:p>
    <w:p>
      <w:pPr>
        <w:pStyle w:val="FirstParagraph"/>
      </w:pPr>
      <w:r>
        <w:t xml:space="preserve">A obediência ao princípio da legalidade deve, ainda, levar em conta a hierarquia do ordenamento jurídico brasileiro, que tem a Constituição Federal como lei maior, e abaixo dela as leis ordinárias — das quais destacamos a</w:t>
      </w:r>
      <w:r>
        <w:t xml:space="preserve"> </w:t>
      </w:r>
      <w:hyperlink r:id="rId39">
        <w:r>
          <w:rPr>
            <w:rStyle w:val="Hyperlink"/>
          </w:rPr>
          <w:t xml:space="preserve">Lei nº 5.766</w:t>
        </w:r>
      </w:hyperlink>
      <w:r>
        <w:t xml:space="preserve">, de 20 de dezembro de 1971, que cria o Conselho Federal e os Conselhos Regionais de Psicologia, e a</w:t>
      </w:r>
      <w:r>
        <w:t xml:space="preserve"> </w:t>
      </w:r>
      <w:hyperlink r:id="rId40">
        <w:r>
          <w:rPr>
            <w:rStyle w:val="Hyperlink"/>
          </w:rPr>
          <w:t xml:space="preserve">Lei nº 9.649</w:t>
        </w:r>
      </w:hyperlink>
      <w:r>
        <w:t xml:space="preserve">, de 27 de maio de 1998, que dispõe, entre outras coisas, sobre os serviços de fiscalização de profissões regulamentadas — e as normativas próprias da autarquia (portarias, resoluções etc.).</w:t>
      </w:r>
    </w:p>
    <w:bookmarkEnd w:id="41"/>
    <w:bookmarkStart w:id="43" w:name="impessoalidade"/>
    <w:p>
      <w:pPr>
        <w:pStyle w:val="Heading4"/>
      </w:pPr>
      <w:r>
        <w:t xml:space="preserve">Impessoalidade</w:t>
      </w:r>
    </w:p>
    <w:p>
      <w:pPr>
        <w:pStyle w:val="FirstParagraph"/>
      </w:pPr>
      <w:r>
        <w:t xml:space="preserve">O princípio da impessoalidade determina que a atuação dos órgãos da administração pública tem por finalidade atender ao interesse público. No caso da comunicação do</w:t>
      </w:r>
      <w:r>
        <w:t xml:space="preserve"> </w:t>
      </w:r>
      <w:r>
        <w:t xml:space="preserve">crp</w:t>
      </w:r>
      <w:r>
        <w:t xml:space="preserve">, isso implica tanto o atendimento das demandas de profissionais de Psicologia quanto a defesa da categoria perante a sociedade. A comunicação institucional da autarquia deve, portanto, ser útil às psicólogas e aos psicólogos e responsável em sua relação com a população em geral, pois representa a face oficial da Psicologia no estado de São Paulo.</w:t>
      </w:r>
    </w:p>
    <w:p>
      <w:pPr>
        <w:pStyle w:val="BodyText"/>
      </w:pPr>
      <w:r>
        <w:t xml:space="preserve">Como consequência do compromisso assumido com o interesse público, é vedada a utilização da</w:t>
      </w:r>
      <w:r>
        <w:t xml:space="preserve"> </w:t>
      </w:r>
      <w:r>
        <w:t xml:space="preserve">‘persona’</w:t>
      </w:r>
      <w:r>
        <w:t xml:space="preserve"> </w:t>
      </w:r>
      <w:r>
        <w:t xml:space="preserve">institucional para a promoção de indivíduos ou grupos. A comunicação institucional não pode fugir ao princípio da legalidade, devendo restringir-se às situações previstas nas normativas da instituição e na legislação pátria; segundo o § 1º do artigo 37 da Constituição Federal,</w:t>
      </w:r>
    </w:p>
    <w:p>
      <w:pPr>
        <w:pStyle w:val="BlockText"/>
      </w:pPr>
      <w:r>
        <w:t xml:space="preserve">A publicidade dos atos, programas, obras, serviços e campanhas dos órgãos públicos deverá ter caráter educativo, informativo ou de orientação social, dela não podendo constar nomes, símbolos ou imagens que caracterizem promoção pessoal de autoridades ou servidores públicos.</w:t>
      </w:r>
      <w:r>
        <w:rPr>
          <w:rStyle w:val="FootnoteReference"/>
        </w:rPr>
        <w:footnoteReference w:id="42"/>
      </w:r>
    </w:p>
    <w:bookmarkEnd w:id="43"/>
    <w:bookmarkStart w:id="44" w:name="moralidade"/>
    <w:p>
      <w:pPr>
        <w:pStyle w:val="Heading4"/>
      </w:pPr>
      <w:r>
        <w:t xml:space="preserve">Moralidade</w:t>
      </w:r>
    </w:p>
    <w:bookmarkEnd w:id="44"/>
    <w:bookmarkStart w:id="45" w:name="publicidade"/>
    <w:p>
      <w:pPr>
        <w:pStyle w:val="Heading4"/>
      </w:pPr>
      <w:r>
        <w:t xml:space="preserve">Publicidade</w:t>
      </w:r>
    </w:p>
    <w:bookmarkEnd w:id="45"/>
    <w:bookmarkStart w:id="46" w:name="eficiência"/>
    <w:p>
      <w:pPr>
        <w:pStyle w:val="Heading4"/>
      </w:pPr>
      <w:r>
        <w:t xml:space="preserve">Eficiência</w:t>
      </w:r>
    </w:p>
    <w:bookmarkEnd w:id="46"/>
    <w:bookmarkEnd w:id="47"/>
    <w:bookmarkEnd w:id="48"/>
    <w:bookmarkStart w:id="67" w:name="implementação-e-gestão-desta-política"/>
    <w:p>
      <w:pPr>
        <w:pStyle w:val="Heading2"/>
      </w:pPr>
      <w:r>
        <w:t xml:space="preserve">Implementação e gestão desta Política</w:t>
      </w:r>
    </w:p>
    <w:p>
      <w:pPr>
        <w:pStyle w:val="FirstParagraph"/>
      </w:pPr>
      <w:r>
        <w:t xml:space="preserve">Esta Política deve ser complementada por um , a ser elaborado por agência para isso capacitada, contendo as seções a seguir.</w:t>
      </w:r>
    </w:p>
    <w:bookmarkStart w:id="51" w:name="seções-gerais"/>
    <w:p>
      <w:pPr>
        <w:pStyle w:val="Heading3"/>
      </w:pPr>
      <w:r>
        <w:t xml:space="preserve">Seções gerais</w:t>
      </w:r>
    </w:p>
    <w:p>
      <w:pPr>
        <w:pStyle w:val="FirstParagraph"/>
      </w:pPr>
      <w:r>
        <w:t xml:space="preserve">Composta de guias a serem utilizados por todas as instâncias e unidades do</w:t>
      </w:r>
      <w:r>
        <w:t xml:space="preserve"> </w:t>
      </w:r>
      <w:r>
        <w:t xml:space="preserve">crp</w:t>
      </w:r>
      <w:r>
        <w:t xml:space="preserve">, inclusive subsedes.</w:t>
      </w:r>
    </w:p>
    <w:bookmarkStart w:id="49" w:name="redação"/>
    <w:p>
      <w:pPr>
        <w:pStyle w:val="Heading4"/>
      </w:pPr>
      <w:r>
        <w:t xml:space="preserve">Redação</w:t>
      </w:r>
    </w:p>
    <w:p>
      <w:pPr>
        <w:numPr>
          <w:ilvl w:val="0"/>
          <w:numId w:val="1004"/>
        </w:numPr>
      </w:pPr>
      <w:r>
        <w:t xml:space="preserve">Linguagem simples;</w:t>
      </w:r>
    </w:p>
    <w:p>
      <w:pPr>
        <w:numPr>
          <w:ilvl w:val="0"/>
          <w:numId w:val="1004"/>
        </w:numPr>
      </w:pPr>
      <w:r>
        <w:t xml:space="preserve">linguagem inclusiva;</w:t>
      </w:r>
    </w:p>
    <w:p>
      <w:pPr>
        <w:numPr>
          <w:ilvl w:val="0"/>
          <w:numId w:val="1004"/>
        </w:numPr>
      </w:pPr>
      <w:r>
        <w:t xml:space="preserve">tom e extensão dos textos para diferentes mídias;</w:t>
      </w:r>
    </w:p>
    <w:p>
      <w:pPr>
        <w:numPr>
          <w:ilvl w:val="0"/>
          <w:numId w:val="1004"/>
        </w:numPr>
      </w:pPr>
      <w:r>
        <w:t xml:space="preserve">estrutura textual para diferentes produtos;</w:t>
      </w:r>
    </w:p>
    <w:bookmarkEnd w:id="49"/>
    <w:bookmarkStart w:id="50" w:name="audiovisual"/>
    <w:p>
      <w:pPr>
        <w:pStyle w:val="Heading4"/>
      </w:pPr>
      <w:r>
        <w:t xml:space="preserve">Audiovisual</w:t>
      </w:r>
    </w:p>
    <w:p>
      <w:pPr>
        <w:numPr>
          <w:ilvl w:val="0"/>
          <w:numId w:val="1005"/>
        </w:numPr>
      </w:pPr>
      <w:r>
        <w:t xml:space="preserve">Retratos e fotografia de eventos;</w:t>
      </w:r>
    </w:p>
    <w:bookmarkEnd w:id="50"/>
    <w:bookmarkEnd w:id="51"/>
    <w:bookmarkStart w:id="57" w:name="editoração"/>
    <w:p>
      <w:pPr>
        <w:pStyle w:val="Heading3"/>
      </w:pPr>
      <w:r>
        <w:t xml:space="preserve">Editoração</w:t>
      </w:r>
    </w:p>
    <w:bookmarkStart w:id="53" w:name="revisão-textual-e-de-linguagem"/>
    <w:p>
      <w:pPr>
        <w:pStyle w:val="Heading4"/>
      </w:pPr>
      <w:r>
        <w:t xml:space="preserve">Revisão textual e de linguagem</w:t>
      </w:r>
    </w:p>
    <w:bookmarkStart w:id="52" w:name="padrões-editoriais"/>
    <w:p>
      <w:pPr>
        <w:pStyle w:val="Heading5"/>
      </w:pPr>
      <w:r>
        <w:t xml:space="preserve">Padrões editoriais</w:t>
      </w:r>
    </w:p>
    <w:p>
      <w:pPr>
        <w:numPr>
          <w:ilvl w:val="0"/>
          <w:numId w:val="1006"/>
        </w:numPr>
      </w:pPr>
      <w:r>
        <w:t xml:space="preserve">Normatização de textos de acordo com a ABNT,</w:t>
      </w:r>
    </w:p>
    <w:p>
      <w:pPr>
        <w:numPr>
          <w:ilvl w:val="0"/>
          <w:numId w:val="1006"/>
        </w:numPr>
      </w:pPr>
      <w:r>
        <w:t xml:space="preserve">padronizacao</w:t>
      </w:r>
      <w:r>
        <w:t xml:space="preserve"> </w:t>
      </w:r>
      <w:r>
        <w:t xml:space="preserve">institucional;</w:t>
      </w:r>
    </w:p>
    <w:p>
      <w:pPr>
        <w:numPr>
          <w:ilvl w:val="0"/>
          <w:numId w:val="1006"/>
        </w:numPr>
      </w:pPr>
      <w:r>
        <w:t xml:space="preserve">boas práticas de acessibilidade para produtos digitais e/ou impressos;</w:t>
      </w:r>
    </w:p>
    <w:bookmarkEnd w:id="52"/>
    <w:bookmarkEnd w:id="53"/>
    <w:bookmarkStart w:id="54" w:name="diagramação"/>
    <w:p>
      <w:pPr>
        <w:pStyle w:val="Heading4"/>
      </w:pPr>
      <w:r>
        <w:t xml:space="preserve">Diagramação</w:t>
      </w:r>
    </w:p>
    <w:bookmarkEnd w:id="54"/>
    <w:bookmarkStart w:id="55" w:name="catalogação-isbn"/>
    <w:p>
      <w:pPr>
        <w:pStyle w:val="Heading4"/>
      </w:pPr>
      <w:r>
        <w:t xml:space="preserve">Catalogação (ISBN)</w:t>
      </w:r>
    </w:p>
    <w:bookmarkEnd w:id="55"/>
    <w:bookmarkStart w:id="56" w:name="preparação-de-produtos-editoriais"/>
    <w:p>
      <w:pPr>
        <w:pStyle w:val="Heading4"/>
      </w:pPr>
      <w:r>
        <w:t xml:space="preserve">Preparação de produtos editoriais</w:t>
      </w:r>
    </w:p>
    <w:p>
      <w:pPr>
        <w:numPr>
          <w:ilvl w:val="0"/>
          <w:numId w:val="1007"/>
        </w:numPr>
      </w:pPr>
      <w:r>
        <w:t xml:space="preserve">Manuais;</w:t>
      </w:r>
    </w:p>
    <w:p>
      <w:pPr>
        <w:numPr>
          <w:ilvl w:val="0"/>
          <w:numId w:val="1007"/>
        </w:numPr>
      </w:pPr>
      <w:r>
        <w:t xml:space="preserve">guias;</w:t>
      </w:r>
    </w:p>
    <w:p>
      <w:pPr>
        <w:numPr>
          <w:ilvl w:val="0"/>
          <w:numId w:val="1007"/>
        </w:numPr>
      </w:pPr>
      <w:r>
        <w:t xml:space="preserve">notas técnicas;</w:t>
      </w:r>
    </w:p>
    <w:p>
      <w:pPr>
        <w:numPr>
          <w:ilvl w:val="0"/>
          <w:numId w:val="1007"/>
        </w:numPr>
      </w:pPr>
      <w:r>
        <w:t xml:space="preserve">cadernos temáticos;</w:t>
      </w:r>
    </w:p>
    <w:p>
      <w:pPr>
        <w:numPr>
          <w:ilvl w:val="0"/>
          <w:numId w:val="1007"/>
        </w:numPr>
      </w:pPr>
      <w:r>
        <w:t xml:space="preserve">relatórios institucionais;</w:t>
      </w:r>
    </w:p>
    <w:p>
      <w:pPr>
        <w:numPr>
          <w:ilvl w:val="0"/>
          <w:numId w:val="1007"/>
        </w:numPr>
      </w:pPr>
      <w:r>
        <w:t xml:space="preserve">anais;</w:t>
      </w:r>
    </w:p>
    <w:p>
      <w:pPr>
        <w:numPr>
          <w:ilvl w:val="0"/>
          <w:numId w:val="1007"/>
        </w:numPr>
      </w:pPr>
      <w:r>
        <w:t xml:space="preserve">cartilhas.</w:t>
      </w:r>
    </w:p>
    <w:bookmarkEnd w:id="56"/>
    <w:bookmarkEnd w:id="57"/>
    <w:bookmarkStart w:id="58" w:name="produção-gráfica"/>
    <w:p>
      <w:pPr>
        <w:pStyle w:val="Heading3"/>
      </w:pPr>
      <w:r>
        <w:t xml:space="preserve">Produção gráfica</w:t>
      </w:r>
    </w:p>
    <w:p>
      <w:pPr>
        <w:numPr>
          <w:ilvl w:val="0"/>
          <w:numId w:val="1008"/>
        </w:numPr>
      </w:pPr>
      <w:r>
        <w:t xml:space="preserve">Panfletos;</w:t>
      </w:r>
    </w:p>
    <w:p>
      <w:pPr>
        <w:numPr>
          <w:ilvl w:val="0"/>
          <w:numId w:val="1008"/>
        </w:numPr>
      </w:pPr>
      <w:r>
        <w:t xml:space="preserve">camisetas;</w:t>
      </w:r>
    </w:p>
    <w:p>
      <w:pPr>
        <w:numPr>
          <w:ilvl w:val="0"/>
          <w:numId w:val="1008"/>
        </w:numPr>
      </w:pPr>
      <w:r>
        <w:t xml:space="preserve">adesivos;</w:t>
      </w:r>
    </w:p>
    <w:p>
      <w:pPr>
        <w:numPr>
          <w:ilvl w:val="0"/>
          <w:numId w:val="1008"/>
        </w:numPr>
      </w:pPr>
      <w:r>
        <w:t xml:space="preserve">faixas;</w:t>
      </w:r>
    </w:p>
    <w:p>
      <w:pPr>
        <w:numPr>
          <w:ilvl w:val="0"/>
          <w:numId w:val="1008"/>
        </w:numPr>
      </w:pPr>
      <w:r>
        <w:t xml:space="preserve">‘banners’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testeiras;</w:t>
      </w:r>
    </w:p>
    <w:p>
      <w:pPr>
        <w:numPr>
          <w:ilvl w:val="0"/>
          <w:numId w:val="1008"/>
        </w:numPr>
      </w:pPr>
      <w:r>
        <w:t xml:space="preserve">crachás;</w:t>
      </w:r>
    </w:p>
    <w:p>
      <w:pPr>
        <w:numPr>
          <w:ilvl w:val="0"/>
          <w:numId w:val="1008"/>
        </w:numPr>
      </w:pPr>
      <w:r>
        <w:t xml:space="preserve">sacolas;</w:t>
      </w:r>
    </w:p>
    <w:p>
      <w:pPr>
        <w:numPr>
          <w:ilvl w:val="0"/>
          <w:numId w:val="1008"/>
        </w:numPr>
      </w:pPr>
      <w:r>
        <w:t xml:space="preserve">placas/sinalização;</w:t>
      </w:r>
    </w:p>
    <w:p>
      <w:pPr>
        <w:numPr>
          <w:ilvl w:val="0"/>
          <w:numId w:val="1008"/>
        </w:numPr>
      </w:pPr>
      <w:r>
        <w:t xml:space="preserve">selos.</w:t>
      </w:r>
    </w:p>
    <w:bookmarkEnd w:id="58"/>
    <w:bookmarkStart w:id="61" w:name="marketing"/>
    <w:p>
      <w:pPr>
        <w:pStyle w:val="Heading3"/>
      </w:pPr>
      <w:r>
        <w:t xml:space="preserve">Marketing</w:t>
      </w:r>
    </w:p>
    <w:bookmarkStart w:id="59" w:name="planos-de-comunicação-integrada"/>
    <w:p>
      <w:pPr>
        <w:pStyle w:val="Heading4"/>
      </w:pPr>
      <w:r>
        <w:t xml:space="preserve">Planos de comunicação integrada</w:t>
      </w:r>
    </w:p>
    <w:bookmarkEnd w:id="59"/>
    <w:bookmarkStart w:id="60" w:name="identidade-visual"/>
    <w:p>
      <w:pPr>
        <w:pStyle w:val="Heading4"/>
      </w:pPr>
      <w:r>
        <w:t xml:space="preserve">Identidade visual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idv</w:t>
      </w:r>
      <w:r>
        <w:t xml:space="preserve"> </w:t>
      </w:r>
      <w:r>
        <w:t xml:space="preserve">do</w:t>
      </w:r>
      <w:r>
        <w:t xml:space="preserve"> </w:t>
      </w:r>
      <w:r>
        <w:t xml:space="preserve">crp</w:t>
      </w:r>
    </w:p>
    <w:bookmarkEnd w:id="60"/>
    <w:bookmarkEnd w:id="61"/>
    <w:bookmarkStart w:id="64" w:name="comunicação-externa"/>
    <w:p>
      <w:pPr>
        <w:pStyle w:val="Heading3"/>
      </w:pPr>
      <w:r>
        <w:t xml:space="preserve">Comunicação externa</w:t>
      </w:r>
    </w:p>
    <w:bookmarkStart w:id="62" w:name="relacionamento-com-a-imprensa"/>
    <w:p>
      <w:pPr>
        <w:pStyle w:val="Heading4"/>
      </w:pPr>
      <w:r>
        <w:t xml:space="preserve">Relacionamento com a imprensa</w:t>
      </w:r>
    </w:p>
    <w:bookmarkEnd w:id="62"/>
    <w:bookmarkStart w:id="63" w:name="mídias-sociais"/>
    <w:p>
      <w:pPr>
        <w:pStyle w:val="Heading4"/>
      </w:pPr>
      <w:r>
        <w:t xml:space="preserve">Mídias sociais</w:t>
      </w:r>
    </w:p>
    <w:bookmarkEnd w:id="63"/>
    <w:bookmarkEnd w:id="64"/>
    <w:bookmarkStart w:id="66" w:name="eventos"/>
    <w:p>
      <w:pPr>
        <w:pStyle w:val="Heading3"/>
      </w:pPr>
      <w:r>
        <w:t xml:space="preserve">Eventos</w:t>
      </w:r>
    </w:p>
    <w:bookmarkStart w:id="65" w:name="eventos-nos-territórios"/>
    <w:p>
      <w:pPr>
        <w:pStyle w:val="Heading4"/>
      </w:pPr>
      <w:r>
        <w:t xml:space="preserve">Eventos nos territórios</w:t>
      </w:r>
    </w:p>
    <w:bookmarkEnd w:id="65"/>
    <w:bookmarkEnd w:id="66"/>
    <w:bookmarkEnd w:id="67"/>
    <w:bookmarkEnd w:id="68"/>
    <w:bookmarkStart w:id="79" w:name="diretrizes-estratégicas"/>
    <w:p>
      <w:pPr>
        <w:pStyle w:val="Heading1"/>
      </w:pPr>
      <w:r>
        <w:t xml:space="preserve">Diretrizes estratégicas</w:t>
      </w:r>
    </w:p>
    <w:bookmarkStart w:id="69" w:name="histórico"/>
    <w:p>
      <w:pPr>
        <w:pStyle w:val="Heading2"/>
      </w:pPr>
      <w:r>
        <w:t xml:space="preserve">Histórico</w:t>
      </w:r>
    </w:p>
    <w:bookmarkEnd w:id="69"/>
    <w:bookmarkStart w:id="70" w:name="objetivos-1"/>
    <w:p>
      <w:pPr>
        <w:pStyle w:val="Heading2"/>
      </w:pPr>
      <w:r>
        <w:t xml:space="preserve">Objetivos</w:t>
      </w:r>
    </w:p>
    <w:bookmarkEnd w:id="70"/>
    <w:bookmarkStart w:id="74" w:name="desafios-e-oportunidades"/>
    <w:p>
      <w:pPr>
        <w:pStyle w:val="Heading2"/>
      </w:pPr>
      <w:r>
        <w:t xml:space="preserve">Desafios e oportunidades</w:t>
      </w:r>
    </w:p>
    <w:bookmarkStart w:id="73" w:name="população"/>
    <w:p>
      <w:pPr>
        <w:pStyle w:val="Heading3"/>
      </w:pPr>
      <w:r>
        <w:t xml:space="preserve">População</w:t>
      </w:r>
    </w:p>
    <w:p>
      <w:pPr>
        <w:pStyle w:val="FirstParagraph"/>
      </w:pPr>
      <w:r>
        <w:t xml:space="preserve">Com mais de 150 mil registros profissionais ativos, o</w:t>
      </w:r>
      <w:r>
        <w:t xml:space="preserve"> </w:t>
      </w:r>
      <w:r>
        <w:t xml:space="preserve">crp</w:t>
      </w:r>
      <w:r>
        <w:t xml:space="preserve"> </w:t>
      </w:r>
      <w:r>
        <w:t xml:space="preserve">é o maior conselho regional de Psicologia do Brasil, número quase duas vezes superior ao de</w:t>
      </w:r>
      <w:r>
        <w:t xml:space="preserve"> </w:t>
      </w:r>
      <w:hyperlink r:id="rId71">
        <w:r>
          <w:rPr>
            <w:rStyle w:val="Hyperlink"/>
          </w:rPr>
          <w:t xml:space="preserve">profissionais atuantes</w:t>
        </w:r>
      </w:hyperlink>
      <w:r>
        <w:t xml:space="preserve"> </w:t>
      </w:r>
      <w:r>
        <w:t xml:space="preserve">em países como Chile (aprox. 72.000), Argentina (aprox. 80.000), e comparável ao número de psicólogas e psicólogos empregados em</w:t>
      </w:r>
      <w:r>
        <w:t xml:space="preserve"> </w:t>
      </w:r>
      <w:hyperlink r:id="rId72">
        <w:r>
          <w:rPr>
            <w:rStyle w:val="Hyperlink"/>
          </w:rPr>
          <w:t xml:space="preserve">todos os Estados Unidos</w:t>
        </w:r>
      </w:hyperlink>
      <w:r>
        <w:t xml:space="preserve">.</w:t>
      </w:r>
    </w:p>
    <w:bookmarkEnd w:id="73"/>
    <w:bookmarkEnd w:id="74"/>
    <w:bookmarkStart w:id="77" w:name="imagem-institucional"/>
    <w:p>
      <w:pPr>
        <w:pStyle w:val="Heading2"/>
      </w:pPr>
      <w:r>
        <w:t xml:space="preserve">Imagem institucional</w:t>
      </w:r>
    </w:p>
    <w:p>
      <w:pPr>
        <w:pStyle w:val="FirstParagraph"/>
      </w:pPr>
      <w:r>
        <w:t xml:space="preserve">(Incluir diretrizes para a gestão: comportamento em redes sociais etc.)</w:t>
      </w:r>
    </w:p>
    <w:bookmarkStart w:id="76" w:name="prevenção-e-gerenciamento-de-crises"/>
    <w:p>
      <w:pPr>
        <w:pStyle w:val="Heading3"/>
      </w:pPr>
      <w:r>
        <w:t xml:space="preserve">Prevenção e gerenciamento de crises</w:t>
      </w:r>
    </w:p>
    <w:bookmarkStart w:id="75" w:name="temas-sensíveis"/>
    <w:p>
      <w:pPr>
        <w:pStyle w:val="Heading4"/>
      </w:pPr>
      <w:r>
        <w:t xml:space="preserve">Temas sensíveis</w:t>
      </w:r>
    </w:p>
    <w:bookmarkEnd w:id="75"/>
    <w:bookmarkEnd w:id="76"/>
    <w:bookmarkEnd w:id="77"/>
    <w:bookmarkStart w:id="78" w:name="avaliação-e-revisão-de-ações"/>
    <w:p>
      <w:pPr>
        <w:pStyle w:val="Heading2"/>
      </w:pPr>
      <w:r>
        <w:t xml:space="preserve">Avaliação e revisão de ações</w:t>
      </w:r>
    </w:p>
    <w:bookmarkEnd w:id="78"/>
    <w:bookmarkEnd w:id="79"/>
    <w:bookmarkStart w:id="112" w:name="diretrizes-operacionais"/>
    <w:p>
      <w:pPr>
        <w:pStyle w:val="Heading1"/>
      </w:pPr>
      <w:r>
        <w:t xml:space="preserve">Diretrizes operacionais</w:t>
      </w:r>
    </w:p>
    <w:bookmarkStart w:id="83" w:name="estrutura-da-coordenação-de-comunicação"/>
    <w:p>
      <w:pPr>
        <w:pStyle w:val="Heading2"/>
      </w:pPr>
      <w:r>
        <w:t xml:space="preserve">Estrutura da Coordenação de Comunicação</w:t>
      </w:r>
    </w:p>
    <w:bookmarkStart w:id="80" w:name="atribuições"/>
    <w:p>
      <w:pPr>
        <w:pStyle w:val="Heading3"/>
      </w:pPr>
      <w:r>
        <w:t xml:space="preserve">Atribuições</w:t>
      </w:r>
    </w:p>
    <w:p>
      <w:pPr>
        <w:pStyle w:val="FirstParagraph"/>
      </w:pPr>
      <w:r>
        <w:t xml:space="preserve">À Coordenação de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cabe a gestão de conteúdo do</w:t>
      </w:r>
      <w:r>
        <w:t xml:space="preserve"> </w:t>
      </w:r>
      <w:r>
        <w:t xml:space="preserve">‘site’</w:t>
      </w:r>
      <w:r>
        <w:t xml:space="preserve">, dos perfis sociais, dos produtos fixos e das publicações diárias da instituição.</w:t>
      </w:r>
    </w:p>
    <w:p>
      <w:pPr>
        <w:pStyle w:val="BodyText"/>
      </w:pPr>
      <w:r>
        <w:t xml:space="preserve">Também é responsabilidade da Coordenação de Comunicação manter boas relações com a imprensa, promovendo contato com jornalistas e veículos, acompanhando a realização de entrevistas e a publicação de matérias, elaborando notas de elucidação e preparando material de divulgação na forma de</w:t>
      </w:r>
      <w:r>
        <w:t xml:space="preserve"> </w:t>
      </w:r>
      <w:r>
        <w:t xml:space="preserve">‘press release’</w:t>
      </w:r>
      <w:r>
        <w:t xml:space="preserve"> </w:t>
      </w:r>
      <w:r>
        <w:t xml:space="preserve">sempre que necessário.</w:t>
      </w:r>
    </w:p>
    <w:bookmarkEnd w:id="80"/>
    <w:bookmarkStart w:id="81" w:name="X6b998b86b2d064c443dfeb4ef266c67a4f01d41"/>
    <w:p>
      <w:pPr>
        <w:pStyle w:val="Heading3"/>
      </w:pPr>
      <w:r>
        <w:t xml:space="preserve">Responsabilidades sobre gestão e administração</w:t>
      </w:r>
    </w:p>
    <w:p>
      <w:pPr>
        <w:numPr>
          <w:ilvl w:val="0"/>
          <w:numId w:val="1009"/>
        </w:numPr>
      </w:pPr>
      <w:r>
        <w:t xml:space="preserve">Passagens, estadias e outros custos de escopo estadual;</w:t>
      </w:r>
    </w:p>
    <w:p>
      <w:pPr>
        <w:numPr>
          <w:ilvl w:val="0"/>
          <w:numId w:val="1009"/>
        </w:numPr>
      </w:pPr>
      <w:r>
        <w:t xml:space="preserve">administração financeira do setor (orçamentos, termos de licitação,</w:t>
      </w:r>
      <w:r>
        <w:t xml:space="preserve"> </w:t>
      </w:r>
      <w:r>
        <w:t xml:space="preserve">atestes);</w:t>
      </w:r>
    </w:p>
    <w:p>
      <w:pPr>
        <w:numPr>
          <w:ilvl w:val="0"/>
          <w:numId w:val="1009"/>
        </w:numPr>
      </w:pPr>
      <w:r>
        <w:t xml:space="preserve">planejamento estratégico da área.</w:t>
      </w:r>
    </w:p>
    <w:bookmarkEnd w:id="81"/>
    <w:bookmarkStart w:id="82" w:name="recursos"/>
    <w:p>
      <w:pPr>
        <w:pStyle w:val="Heading3"/>
      </w:pPr>
      <w:r>
        <w:t xml:space="preserve">Recursos</w:t>
      </w:r>
    </w:p>
    <w:bookmarkEnd w:id="82"/>
    <w:bookmarkEnd w:id="83"/>
    <w:bookmarkStart w:id="108" w:name="processos-e-produtos-comunicacionais"/>
    <w:p>
      <w:pPr>
        <w:pStyle w:val="Heading2"/>
      </w:pPr>
      <w:r>
        <w:t xml:space="preserve">Processos e produtos comunicacionais</w:t>
      </w:r>
    </w:p>
    <w:bookmarkStart w:id="86" w:name="canais-oficiais"/>
    <w:p>
      <w:pPr>
        <w:pStyle w:val="Heading3"/>
      </w:pPr>
      <w:r>
        <w:t xml:space="preserve">Canais oficiais</w:t>
      </w:r>
    </w:p>
    <w:bookmarkStart w:id="84" w:name="site-institucional"/>
    <w:p>
      <w:pPr>
        <w:pStyle w:val="Heading4"/>
      </w:pPr>
      <w:r>
        <w:t xml:space="preserve">‘Site’</w:t>
      </w:r>
      <w:r>
        <w:t xml:space="preserve"> </w:t>
      </w:r>
      <w:r>
        <w:t xml:space="preserve">institucional</w:t>
      </w:r>
    </w:p>
    <w:bookmarkEnd w:id="84"/>
    <w:bookmarkStart w:id="85" w:name="redes-sociais"/>
    <w:p>
      <w:pPr>
        <w:pStyle w:val="Heading4"/>
      </w:pPr>
      <w:r>
        <w:t xml:space="preserve">Redes sociais</w:t>
      </w:r>
    </w:p>
    <w:p>
      <w:pPr>
        <w:pStyle w:val="FirstParagraph"/>
      </w:pPr>
      <w:r>
        <w:t xml:space="preserve">O</w:t>
      </w:r>
      <w:r>
        <w:t xml:space="preserve"> </w:t>
      </w:r>
      <w:r>
        <w:t xml:space="preserve">crp</w:t>
      </w:r>
      <w:r>
        <w:t xml:space="preserve"> </w:t>
      </w:r>
      <w:r>
        <w:t xml:space="preserve">mantém perfis ativos nas seguintes redes sociais:</w:t>
      </w:r>
    </w:p>
    <w:p>
      <w:pPr>
        <w:numPr>
          <w:ilvl w:val="0"/>
          <w:numId w:val="1010"/>
        </w:numPr>
      </w:pPr>
      <w:r>
        <w:t xml:space="preserve">Instagram;</w:t>
      </w:r>
    </w:p>
    <w:p>
      <w:pPr>
        <w:numPr>
          <w:ilvl w:val="0"/>
          <w:numId w:val="1010"/>
        </w:numPr>
      </w:pPr>
      <w:r>
        <w:t xml:space="preserve">Facebook;</w:t>
      </w:r>
    </w:p>
    <w:p>
      <w:pPr>
        <w:numPr>
          <w:ilvl w:val="0"/>
          <w:numId w:val="1010"/>
        </w:numPr>
      </w:pPr>
      <w:r>
        <w:t xml:space="preserve">LinkedIn;</w:t>
      </w:r>
    </w:p>
    <w:p>
      <w:pPr>
        <w:numPr>
          <w:ilvl w:val="0"/>
          <w:numId w:val="1010"/>
        </w:numPr>
      </w:pPr>
      <w:r>
        <w:t xml:space="preserve">X/Twitter;</w:t>
      </w:r>
    </w:p>
    <w:p>
      <w:pPr>
        <w:numPr>
          <w:ilvl w:val="0"/>
          <w:numId w:val="1010"/>
        </w:numPr>
      </w:pPr>
      <w:r>
        <w:t xml:space="preserve">YouTube.</w:t>
      </w:r>
    </w:p>
    <w:p>
      <w:pPr>
        <w:pStyle w:val="FirstParagraph"/>
      </w:pPr>
      <w:r>
        <w:t xml:space="preserve">Os perfis sociais do</w:t>
      </w:r>
      <w:r>
        <w:t xml:space="preserve"> </w:t>
      </w:r>
      <w:r>
        <w:t xml:space="preserve">crp</w:t>
      </w:r>
      <w:r>
        <w:t xml:space="preserve"> </w:t>
      </w:r>
      <w:r>
        <w:t xml:space="preserve">têm como objetivo formar e informar a categoria sobre temas associados à Psicologia, à atuação profissonal e ao funcionamento do Sistema Conselhos. Por meio deles, buscamos ampliar nossos pontos de contato e comunicação com as psicólogas e psicólogos de todo o estado de São Paulo, além de participar dos debates sobre a</w:t>
      </w:r>
      <w:r>
        <w:t xml:space="preserve"> </w:t>
      </w:r>
      <w:r>
        <w:t xml:space="preserve">Psicologia como ciência e profissão.</w:t>
      </w:r>
    </w:p>
    <w:p>
      <w:pPr>
        <w:pStyle w:val="BodyText"/>
      </w:pPr>
      <w:r>
        <w:t xml:space="preserve">Em observância aos princípios da transparência e do compromisso ético, evidenciamos as seguintes diretrizes: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perfis e páginas oficiais</w:t>
      </w:r>
      <w:r>
        <w:t xml:space="preserve">: só são permitidos perfis e páginas</w:t>
      </w:r>
      <w:r>
        <w:t xml:space="preserve"> </w:t>
      </w:r>
      <w:r>
        <w:t xml:space="preserve">associados ao</w:t>
      </w:r>
      <w:r>
        <w:t xml:space="preserve"> </w:t>
      </w:r>
      <w:r>
        <w:t xml:space="preserve">crp</w:t>
      </w:r>
      <w:r>
        <w:t xml:space="preserve"> </w:t>
      </w:r>
      <w:r>
        <w:t xml:space="preserve">que sejam criados e mantidos pela instituição. A</w:t>
      </w:r>
      <w:r>
        <w:t xml:space="preserve"> </w:t>
      </w:r>
      <w:r>
        <w:t xml:space="preserve">autarquia se reserva o direito de não endossar perfis e páginas que se</w:t>
      </w:r>
      <w:r>
        <w:t xml:space="preserve"> </w:t>
      </w:r>
      <w:r>
        <w:t xml:space="preserve">autointitulem associados ao Conselho e que não sejam reconhecidos como</w:t>
      </w:r>
      <w:r>
        <w:t xml:space="preserve"> </w:t>
      </w:r>
      <w:r>
        <w:t xml:space="preserve">oficiais, tomando as devidas medidas quando necessário;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gestão das contas</w:t>
      </w:r>
      <w:r>
        <w:t xml:space="preserve">: as contas oficiais do</w:t>
      </w:r>
      <w:r>
        <w:t xml:space="preserve"> </w:t>
      </w:r>
      <w:r>
        <w:t xml:space="preserve">crp</w:t>
      </w:r>
      <w:r>
        <w:t xml:space="preserve"> </w:t>
      </w:r>
      <w:r>
        <w:t xml:space="preserve">serão</w:t>
      </w:r>
      <w:r>
        <w:t xml:space="preserve"> </w:t>
      </w:r>
      <w:r>
        <w:t xml:space="preserve">gerenciadas por uma equipe certificada e autorizada, composta por</w:t>
      </w:r>
      <w:r>
        <w:t xml:space="preserve"> </w:t>
      </w:r>
      <w:r>
        <w:t xml:space="preserve">profissionais da comunicação, trabalhadores da autarquia e psicólogas</w:t>
      </w:r>
      <w:r>
        <w:t xml:space="preserve"> </w:t>
      </w:r>
      <w:r>
        <w:t xml:space="preserve">e psicólogos conselheiros;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política de interação e moderação</w:t>
      </w:r>
      <w:r>
        <w:t xml:space="preserve">: para garantir a</w:t>
      </w:r>
      <w:r>
        <w:t xml:space="preserve"> </w:t>
      </w:r>
      <w:r>
        <w:t xml:space="preserve">veracidade, exatidão, confiabilidade, qualidade e legalidade das</w:t>
      </w:r>
      <w:r>
        <w:t xml:space="preserve"> </w:t>
      </w:r>
      <w:r>
        <w:t xml:space="preserve">informações, as interações nos canais oficiais estarão sujeitas a</w:t>
      </w:r>
      <w:r>
        <w:t xml:space="preserve"> </w:t>
      </w:r>
      <w:r>
        <w:t xml:space="preserve">moderação. Mensagens e perfis poderão ser excluídos se:</w:t>
      </w:r>
    </w:p>
    <w:p>
      <w:pPr>
        <w:numPr>
          <w:ilvl w:val="1"/>
          <w:numId w:val="1012"/>
        </w:numPr>
      </w:pPr>
      <w:r>
        <w:t xml:space="preserve">usarem linguagem inapropriada, obscena, caluniosa, grosseira, abusiva, difamatória ou ofensiva;</w:t>
      </w:r>
    </w:p>
    <w:p>
      <w:pPr>
        <w:numPr>
          <w:ilvl w:val="1"/>
          <w:numId w:val="1012"/>
        </w:numPr>
      </w:pPr>
      <w:r>
        <w:t xml:space="preserve">fizerem apologia a práticas ilícitas;</w:t>
      </w:r>
    </w:p>
    <w:p>
      <w:pPr>
        <w:numPr>
          <w:ilvl w:val="1"/>
          <w:numId w:val="1012"/>
        </w:numPr>
      </w:pPr>
      <w:r>
        <w:t xml:space="preserve">incitarem ódio, violência, racismo ou qualquer forma de discriminação;</w:t>
      </w:r>
    </w:p>
    <w:p>
      <w:pPr>
        <w:numPr>
          <w:ilvl w:val="1"/>
          <w:numId w:val="1012"/>
        </w:numPr>
      </w:pPr>
      <w:r>
        <w:t xml:space="preserve">contiverem ameaças, assédio, injúria, calúnia, difamação ou qualquer outro ilícito penal;</w:t>
      </w:r>
    </w:p>
    <w:p>
      <w:pPr>
        <w:numPr>
          <w:ilvl w:val="1"/>
          <w:numId w:val="1012"/>
        </w:numPr>
      </w:pPr>
      <w:r>
        <w:t xml:space="preserve">divulgarem conteúdos na forma de</w:t>
      </w:r>
      <w:r>
        <w:t xml:space="preserve"> </w:t>
      </w:r>
      <w:r>
        <w:t xml:space="preserve">‘spam’</w:t>
      </w:r>
      <w:r>
        <w:t xml:space="preserve"> </w:t>
      </w:r>
      <w:r>
        <w:t xml:space="preserve">ou </w:t>
      </w:r>
      <w:r>
        <w:t xml:space="preserve">“correntes”</w:t>
      </w:r>
      <w:r>
        <w:t xml:space="preserve">;</w:t>
      </w:r>
    </w:p>
    <w:p>
      <w:pPr>
        <w:numPr>
          <w:ilvl w:val="1"/>
          <w:numId w:val="1012"/>
        </w:numPr>
      </w:pPr>
      <w:r>
        <w:t xml:space="preserve">caracterizarem intuito comercial ou publicitário;</w:t>
      </w:r>
    </w:p>
    <w:p>
      <w:pPr>
        <w:numPr>
          <w:ilvl w:val="1"/>
          <w:numId w:val="1012"/>
        </w:numPr>
      </w:pPr>
      <w:r>
        <w:t xml:space="preserve">forem ininteligíveis ou fora de contexto;</w:t>
      </w:r>
    </w:p>
    <w:p>
      <w:pPr>
        <w:numPr>
          <w:ilvl w:val="1"/>
          <w:numId w:val="1012"/>
        </w:numPr>
      </w:pPr>
      <w:r>
        <w:t xml:space="preserve">contiverem propagandas político-partidárias;</w:t>
      </w:r>
    </w:p>
    <w:p>
      <w:pPr>
        <w:numPr>
          <w:ilvl w:val="1"/>
          <w:numId w:val="1012"/>
        </w:numPr>
      </w:pPr>
      <w:r>
        <w:t xml:space="preserve">contiverem</w:t>
      </w:r>
      <w:r>
        <w:t xml:space="preserve"> </w:t>
      </w:r>
      <w:r>
        <w:t xml:space="preserve">‘links’</w:t>
      </w:r>
      <w:r>
        <w:t xml:space="preserve"> </w:t>
      </w:r>
      <w:r>
        <w:t xml:space="preserve">suspeitos ou representarem ameaça à segurança da informação;</w:t>
      </w:r>
    </w:p>
    <w:p>
      <w:pPr>
        <w:numPr>
          <w:ilvl w:val="1"/>
          <w:numId w:val="1012"/>
        </w:numPr>
      </w:pPr>
      <w:r>
        <w:t xml:space="preserve">usarem informações e imagens de pessoas e instituições de modo indevido;</w:t>
      </w:r>
    </w:p>
    <w:p>
      <w:pPr>
        <w:numPr>
          <w:ilvl w:val="1"/>
          <w:numId w:val="1012"/>
        </w:numPr>
      </w:pPr>
      <w:r>
        <w:t xml:space="preserve">contiverem dados pessoais da autora, do autor ou de terceiros;</w:t>
      </w:r>
    </w:p>
    <w:p>
      <w:pPr>
        <w:numPr>
          <w:ilvl w:val="1"/>
          <w:numId w:val="1012"/>
        </w:numPr>
      </w:pPr>
      <w:r>
        <w:t xml:space="preserve">violarem direitos de imagem e de propriedade intelectual;</w:t>
      </w:r>
    </w:p>
    <w:p>
      <w:pPr>
        <w:numPr>
          <w:ilvl w:val="1"/>
          <w:numId w:val="1012"/>
        </w:numPr>
      </w:pPr>
      <w:r>
        <w:t xml:space="preserve">forem fraudulentos (perfis falsos e/ou</w:t>
      </w:r>
      <w:r>
        <w:t xml:space="preserve"> </w:t>
      </w:r>
      <w:r>
        <w:t xml:space="preserve">‘bots’</w:t>
      </w:r>
      <w:r>
        <w:t xml:space="preserve">) ou promoverem conteúdo inverídico (</w:t>
      </w:r>
      <w:r>
        <w:t xml:space="preserve">‘fake news’</w:t>
      </w:r>
      <w:r>
        <w:t xml:space="preserve">).</w:t>
      </w:r>
      <w:r>
        <w:br/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restrições de divulgação</w:t>
      </w:r>
      <w:r>
        <w:t xml:space="preserve">: o</w:t>
      </w:r>
      <w:r>
        <w:t xml:space="preserve"> </w:t>
      </w:r>
      <w:r>
        <w:t xml:space="preserve">crp</w:t>
      </w:r>
      <w:r>
        <w:t xml:space="preserve"> </w:t>
      </w:r>
      <w:r>
        <w:t xml:space="preserve">não segue e não marca pessoas, veículos de comunicação e empresas privadas, apenas entidades parceiras e órgãos do poder público. Não divulgamos partidos políticos e não realizamos atendimento administrativo e de orientação nas redes sociais. As demandas fora dos produtos fixos devem ser levadas a</w:t>
      </w:r>
      <w:r>
        <w:t xml:space="preserve"> </w:t>
      </w:r>
      <w:r>
        <w:t xml:space="preserve">comissões estaduais.</w:t>
      </w:r>
    </w:p>
    <w:p>
      <w:pPr>
        <w:pStyle w:val="FirstParagraph"/>
      </w:pPr>
      <w:r>
        <w:t xml:space="preserve">A não observância dessas diretrizes pode acarretar ações imediatas do</w:t>
      </w:r>
      <w:r>
        <w:t xml:space="preserve"> </w:t>
      </w:r>
      <w:r>
        <w:t xml:space="preserve">crp</w:t>
      </w:r>
      <w:r>
        <w:t xml:space="preserve">, sem necessidade de justificativa, consulta ou aviso prévio. Mensagens inadequadas poderão ser encaminhadas às autoridades responsáveis. Nosso compromisso é com a ética, a transparência e a qualidade das nossas comunicações.</w:t>
      </w:r>
    </w:p>
    <w:bookmarkEnd w:id="85"/>
    <w:bookmarkEnd w:id="86"/>
    <w:bookmarkStart w:id="100" w:name="produtos-fixos"/>
    <w:p>
      <w:pPr>
        <w:pStyle w:val="Heading3"/>
      </w:pPr>
      <w:r>
        <w:t xml:space="preserve">Produtos fixos</w:t>
      </w:r>
    </w:p>
    <w:p>
      <w:pPr>
        <w:pStyle w:val="FirstParagraph"/>
      </w:pPr>
      <w:r>
        <w:t xml:space="preserve">Dividimos os produtos fixos de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em e . Entre os primeiros, incluem-se conteúdo produzido para redes sociais (como o CRP SP Acontece e o CRP SP na Mídia); os de circulação lenta são aqueles com potencial para material de referência e consulta (Cadernos Temáticos, Jornal Psi, vídeos institucionais).</w:t>
      </w:r>
    </w:p>
    <w:bookmarkStart w:id="95" w:name="produtos-de-circulação-rápida"/>
    <w:p>
      <w:pPr>
        <w:pStyle w:val="Heading4"/>
      </w:pPr>
      <w:r>
        <w:t xml:space="preserve">Produtos de circulação rápida</w:t>
      </w:r>
    </w:p>
    <w:bookmarkStart w:id="87" w:name="psicologia-em-ação"/>
    <w:p>
      <w:pPr>
        <w:pStyle w:val="Heading5"/>
      </w:pPr>
      <w:r>
        <w:t xml:space="preserve">Psicologia em Ação</w:t>
      </w:r>
    </w:p>
    <w:p>
      <w:pPr>
        <w:pStyle w:val="FirstParagraph"/>
      </w:pPr>
      <w:r>
        <w:t xml:space="preserve">Divulgação de eventos a pedido, utilizando-se do</w:t>
      </w:r>
      <w:r>
        <w:t xml:space="preserve"> </w:t>
      </w:r>
      <w:r>
        <w:t xml:space="preserve">‘site’</w:t>
      </w:r>
      <w:r>
        <w:t xml:space="preserve"> </w:t>
      </w:r>
      <w:r>
        <w:t xml:space="preserve">(Agenda CRP SP), de</w:t>
      </w:r>
      <w:r>
        <w:t xml:space="preserve"> </w:t>
      </w:r>
      <w:r>
        <w:t xml:space="preserve">‘stories’</w:t>
      </w:r>
      <w:r>
        <w:t xml:space="preserve"> </w:t>
      </w:r>
      <w:r>
        <w:t xml:space="preserve">(perfil oficial no Instagram), postagens (demais redes sociais) e</w:t>
      </w:r>
      <w:r>
        <w:t xml:space="preserve"> </w:t>
      </w:r>
      <w:r>
        <w:t xml:space="preserve">‘cards’</w:t>
      </w:r>
      <w:r>
        <w:t xml:space="preserve"> </w:t>
      </w:r>
      <w:r>
        <w:t xml:space="preserve">a serem compartilhados pelos territórios. A cobertura dos eventos é publicada no CRP SP Acontece.</w:t>
      </w:r>
    </w:p>
    <w:p>
      <w:pPr>
        <w:pStyle w:val="BodyText"/>
      </w:pPr>
      <w:r>
        <w:t xml:space="preserve">As publicações de possuem identidade visual própria, que pode receber elementos temáticos.</w:t>
      </w:r>
    </w:p>
    <w:bookmarkEnd w:id="87"/>
    <w:bookmarkStart w:id="88" w:name="crp-sp-acontece"/>
    <w:p>
      <w:pPr>
        <w:pStyle w:val="Heading5"/>
      </w:pPr>
      <w:r>
        <w:t xml:space="preserve">CRP SP Acontece</w:t>
      </w:r>
    </w:p>
    <w:p>
      <w:pPr>
        <w:pStyle w:val="FirstParagraph"/>
      </w:pPr>
      <w:r>
        <w:t xml:space="preserve">Veiculado semanal ou quinzenalmente, noticia a categoria e a sociedade sobre as ações, eventos, representações, mobilizações, novidades etc. do dia a dia do</w:t>
      </w:r>
      <w:r>
        <w:t xml:space="preserve"> </w:t>
      </w:r>
      <w:r>
        <w:t xml:space="preserve">crp</w:t>
      </w:r>
      <w:r>
        <w:t xml:space="preserve">, em formato de galeria de imagem (até 10 fotos por publicação) acompanhada por breves relatos.</w:t>
      </w:r>
    </w:p>
    <w:p>
      <w:pPr>
        <w:pStyle w:val="BodyText"/>
      </w:pPr>
      <w:r>
        <w:t xml:space="preserve">Subsedes , comissões e demais instâncias devem enviar seus reportes (breves: um parágrafo contando o que foi a ação, quem esteve presente etc.), acompanhados de foto para Comunicação.</w:t>
      </w:r>
    </w:p>
    <w:bookmarkEnd w:id="88"/>
    <w:bookmarkStart w:id="89" w:name="crp-sp-informa"/>
    <w:p>
      <w:pPr>
        <w:pStyle w:val="Heading5"/>
      </w:pPr>
      <w:r>
        <w:t xml:space="preserve">CRP SP Informa</w:t>
      </w:r>
    </w:p>
    <w:p>
      <w:pPr>
        <w:pStyle w:val="FirstParagraph"/>
      </w:pPr>
      <w:r>
        <w:t xml:space="preserve">Ferramenta de</w:t>
      </w:r>
      <w:r>
        <w:t xml:space="preserve"> </w:t>
      </w:r>
      <w:r>
        <w:t xml:space="preserve">‘e-mail marketing’</w:t>
      </w:r>
      <w:r>
        <w:t xml:space="preserve"> </w:t>
      </w:r>
      <w:r>
        <w:t xml:space="preserve">destinada a dar publicidade às ações realizadas nos territórios, por meio de envio de mensagens institucionais a psicólogas, psicólogos e entidades afins. É uma importante ferramenta de comunicação direcionada, com média estadual de abertura dos</w:t>
      </w:r>
      <w:r>
        <w:t xml:space="preserve"> </w:t>
      </w:r>
      <w:r>
        <w:t xml:space="preserve">‘e-mails’</w:t>
      </w:r>
      <w:r>
        <w:t xml:space="preserve"> </w:t>
      </w:r>
      <w:r>
        <w:t xml:space="preserve">de 20%.</w:t>
      </w:r>
    </w:p>
    <w:p>
      <w:pPr>
        <w:pStyle w:val="BodyText"/>
      </w:pPr>
      <w:r>
        <w:t xml:space="preserve">A cada território é facultado o envio de até quatro mensagens por mês.</w:t>
      </w:r>
    </w:p>
    <w:bookmarkEnd w:id="89"/>
    <w:bookmarkStart w:id="90" w:name="crp-sp-debate-lives"/>
    <w:p>
      <w:pPr>
        <w:pStyle w:val="Heading5"/>
      </w:pPr>
      <w:r>
        <w:t xml:space="preserve">CRP SP Debate (</w:t>
      </w:r>
      <w:r>
        <w:t xml:space="preserve">‘lives’</w:t>
      </w:r>
      <w:r>
        <w:t xml:space="preserve">)</w:t>
      </w:r>
    </w:p>
    <w:p>
      <w:pPr>
        <w:pStyle w:val="FirstParagraph"/>
      </w:pPr>
      <w:r>
        <w:t xml:space="preserve">Canal que possibilita ampliar discussões para mais públicos e trazer convidadas de diferentes espaços. As</w:t>
      </w:r>
      <w:r>
        <w:t xml:space="preserve"> </w:t>
      </w:r>
      <w:r>
        <w:t xml:space="preserve">‘lives’</w:t>
      </w:r>
      <w:r>
        <w:t xml:space="preserve"> </w:t>
      </w:r>
      <w:r>
        <w:t xml:space="preserve">são realizadas por comissões e, geralmente, estão inseridas em uma campanha. Contam sempre com a tradução para Libras e têm o</w:t>
      </w:r>
      <w:r>
        <w:t xml:space="preserve"> </w:t>
      </w:r>
      <w:r>
        <w:t xml:space="preserve">‘chat’</w:t>
      </w:r>
      <w:r>
        <w:t xml:space="preserve"> </w:t>
      </w:r>
      <w:r>
        <w:t xml:space="preserve">mediado pela Coordenação de Comunicação. São operadas no StreamYard (transmissão pelo YouTube e Facebook), podendo apresentar até 7 participantes.</w:t>
      </w:r>
    </w:p>
    <w:p>
      <w:pPr>
        <w:pStyle w:val="BodyText"/>
      </w:pPr>
      <w:r>
        <w:t xml:space="preserve">‘Lives’</w:t>
      </w:r>
      <w:r>
        <w:t xml:space="preserve"> </w:t>
      </w:r>
      <w:r>
        <w:t xml:space="preserve">devem ser solicitadas com mínimo de 30 dias de antecedência, por meio de formulário de eventos, que deve ser preenchido e enviado para as pessoas responsáveis por eventos na Coordenação de Comunicação. Após o recebimento, será criado grupo de imMail para realização de testes prévios, elaboração de roteiro e alinhamento necessário.</w:t>
      </w:r>
    </w:p>
    <w:bookmarkEnd w:id="90"/>
    <w:bookmarkStart w:id="91" w:name="calendário-de-direitos-humanos"/>
    <w:p>
      <w:pPr>
        <w:pStyle w:val="Heading5"/>
      </w:pPr>
      <w:r>
        <w:t xml:space="preserve">Calendário de Direitos Humanos</w:t>
      </w:r>
    </w:p>
    <w:p>
      <w:pPr>
        <w:pStyle w:val="FirstParagraph"/>
      </w:pPr>
      <w:r>
        <w:t xml:space="preserve">Artigos e postagens publicados em datas simbólicas para a defesa dos Direitos Humanos. Textos são organizados pelas comissões permanentes e encaminhados à</w:t>
      </w:r>
      <w:r>
        <w:t xml:space="preserve"> </w:t>
      </w:r>
      <w:r>
        <w:t xml:space="preserve">comcom</w:t>
      </w:r>
      <w:r>
        <w:t xml:space="preserve"> </w:t>
      </w:r>
      <w:r>
        <w:t xml:space="preserve">com até três dias úteis de antecedência para publicação, e devem ser elaborados com linguagem inclusiva (#paratodosverem), fornecendo informações sobre o significado da data em destaque, abordando aspectos relevantes do exercício profissional da Psicologia e fazendo referência à(s) normativa(s) do Sistema Conselhos e/ou do Código de Ética alinhada(s) ao assunto da data. A escrita deve ser objetiva, simples e compatível com as redes sociais (máximo de dois mil caracteres e quatro parágrafos). O conteúdo é padronizado e institucional.</w:t>
      </w:r>
    </w:p>
    <w:bookmarkEnd w:id="91"/>
    <w:bookmarkStart w:id="93" w:name="crp-sp-na-mídia"/>
    <w:p>
      <w:pPr>
        <w:pStyle w:val="Heading5"/>
      </w:pPr>
      <w:r>
        <w:t xml:space="preserve">CRP SP na Mídia</w:t>
      </w:r>
    </w:p>
    <w:p>
      <w:pPr>
        <w:pStyle w:val="FirstParagraph"/>
      </w:pPr>
      <w:r>
        <w:t xml:space="preserve">Divulga as participações do</w:t>
      </w:r>
      <w:r>
        <w:t xml:space="preserve"> </w:t>
      </w:r>
      <w:r>
        <w:t xml:space="preserve">crp</w:t>
      </w:r>
      <w:r>
        <w:t xml:space="preserve"> </w:t>
      </w:r>
      <w:r>
        <w:t xml:space="preserve">na imprensa e em outros canais externos.</w:t>
      </w:r>
    </w:p>
    <w:p>
      <w:pPr>
        <w:pStyle w:val="BodyText"/>
      </w:pPr>
      <w:r>
        <w:t xml:space="preserve">Solicitações devem ser encaminhadas para o</w:t>
      </w:r>
      <w:r>
        <w:t xml:space="preserve"> </w:t>
      </w:r>
      <w:r>
        <w:t xml:space="preserve">‘e-mail’</w:t>
      </w:r>
      <w:r>
        <w:t xml:space="preserve"> </w:t>
      </w:r>
      <w:hyperlink r:id="rId92">
        <w:r>
          <w:rPr>
            <w:rStyle w:val="Hyperlink"/>
          </w:rPr>
          <w:t xml:space="preserve">ascom@crpsp.org.br</w:t>
        </w:r>
      </w:hyperlink>
      <w:r>
        <w:t xml:space="preserve">. Os pedidos são levados para representações e plenário, para que se decida sobre o encaminhamento.</w:t>
      </w:r>
    </w:p>
    <w:bookmarkEnd w:id="93"/>
    <w:bookmarkStart w:id="94" w:name="publicações-diárias"/>
    <w:p>
      <w:pPr>
        <w:pStyle w:val="Heading5"/>
      </w:pPr>
      <w:r>
        <w:t xml:space="preserve">Publicações diárias</w:t>
      </w:r>
    </w:p>
    <w:p>
      <w:pPr>
        <w:pStyle w:val="FirstParagraph"/>
      </w:pPr>
      <w:r>
        <w:t xml:space="preserve">A Coordenação de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é responsável pela publicação a qualquer tempo, de acordo com a demanda, de:</w:t>
      </w:r>
    </w:p>
    <w:p>
      <w:pPr>
        <w:numPr>
          <w:ilvl w:val="0"/>
          <w:numId w:val="1013"/>
        </w:numPr>
      </w:pPr>
      <w:r>
        <w:t xml:space="preserve">material do Sistema Conselhos de Psicologia;</w:t>
      </w:r>
    </w:p>
    <w:p>
      <w:pPr>
        <w:numPr>
          <w:ilvl w:val="0"/>
          <w:numId w:val="1013"/>
        </w:numPr>
      </w:pPr>
      <w:r>
        <w:t xml:space="preserve">orientações do</w:t>
      </w:r>
      <w:r>
        <w:t xml:space="preserve"> </w:t>
      </w:r>
      <w:r>
        <w:t xml:space="preserve">crepop</w:t>
      </w:r>
      <w:r>
        <w:t xml:space="preserve">;</w:t>
      </w:r>
    </w:p>
    <w:p>
      <w:pPr>
        <w:numPr>
          <w:ilvl w:val="0"/>
          <w:numId w:val="1013"/>
        </w:numPr>
      </w:pPr>
      <w:r>
        <w:t xml:space="preserve">eventos e outros assuntos de interesse produzidos por entidades parceiras;</w:t>
      </w:r>
    </w:p>
    <w:p>
      <w:pPr>
        <w:numPr>
          <w:ilvl w:val="0"/>
          <w:numId w:val="1013"/>
        </w:numPr>
      </w:pPr>
      <w:r>
        <w:t xml:space="preserve">notas de pesar;</w:t>
      </w:r>
    </w:p>
    <w:p>
      <w:pPr>
        <w:numPr>
          <w:ilvl w:val="0"/>
          <w:numId w:val="1013"/>
        </w:numPr>
      </w:pPr>
      <w:r>
        <w:t xml:space="preserve">notas de posicionamento;</w:t>
      </w:r>
    </w:p>
    <w:p>
      <w:pPr>
        <w:numPr>
          <w:ilvl w:val="0"/>
          <w:numId w:val="1013"/>
        </w:numPr>
      </w:pPr>
      <w:r>
        <w:t xml:space="preserve">informes administrativos e financeiros;</w:t>
      </w:r>
    </w:p>
    <w:p>
      <w:pPr>
        <w:numPr>
          <w:ilvl w:val="0"/>
          <w:numId w:val="1013"/>
        </w:numPr>
      </w:pPr>
      <w:r>
        <w:t xml:space="preserve">orientações gerais.</w:t>
      </w:r>
    </w:p>
    <w:bookmarkEnd w:id="94"/>
    <w:bookmarkEnd w:id="95"/>
    <w:bookmarkStart w:id="99" w:name="produtos-de-circulação-lenta"/>
    <w:p>
      <w:pPr>
        <w:pStyle w:val="Heading4"/>
      </w:pPr>
      <w:r>
        <w:t xml:space="preserve">Produtos de circulação lenta</w:t>
      </w:r>
    </w:p>
    <w:bookmarkStart w:id="96" w:name="jornal-psi"/>
    <w:p>
      <w:pPr>
        <w:pStyle w:val="Heading5"/>
      </w:pPr>
      <w:r>
        <w:t xml:space="preserve">Jornal Psi</w:t>
      </w:r>
    </w:p>
    <w:p>
      <w:pPr>
        <w:pStyle w:val="FirstParagraph"/>
      </w:pPr>
      <w:r>
        <w:t xml:space="preserve">Publicado em quatro edições anuais de maneira</w:t>
      </w:r>
      <w:r>
        <w:t xml:space="preserve"> </w:t>
      </w:r>
      <w:r>
        <w:t xml:space="preserve">‘on-line’</w:t>
      </w:r>
      <w:r>
        <w:t xml:space="preserve">, com envio de versão impressa a psicólogas, psicólogos e entidades com inscrição ativa no</w:t>
      </w:r>
      <w:r>
        <w:t xml:space="preserve"> </w:t>
      </w:r>
      <w:r>
        <w:t xml:space="preserve">crp</w:t>
      </w:r>
      <w:r>
        <w:t xml:space="preserve">. Pautas e validação final do jornal são compartilhadas com o Plenário.</w:t>
      </w:r>
    </w:p>
    <w:bookmarkEnd w:id="96"/>
    <w:bookmarkStart w:id="97" w:name="cadernos-temáticos"/>
    <w:p>
      <w:pPr>
        <w:pStyle w:val="Heading5"/>
      </w:pPr>
      <w:r>
        <w:t xml:space="preserve">Cadernos Temáticos</w:t>
      </w:r>
    </w:p>
    <w:bookmarkEnd w:id="97"/>
    <w:bookmarkStart w:id="98" w:name="vídeos-institucionais"/>
    <w:p>
      <w:pPr>
        <w:pStyle w:val="Heading5"/>
      </w:pPr>
      <w:r>
        <w:t xml:space="preserve">Vídeos institucionais</w:t>
      </w:r>
    </w:p>
    <w:bookmarkEnd w:id="98"/>
    <w:bookmarkEnd w:id="99"/>
    <w:bookmarkEnd w:id="100"/>
    <w:bookmarkStart w:id="101" w:name="campanhas"/>
    <w:p>
      <w:pPr>
        <w:pStyle w:val="Heading3"/>
      </w:pPr>
      <w:r>
        <w:t xml:space="preserve">Campanhas</w:t>
      </w:r>
    </w:p>
    <w:p>
      <w:pPr>
        <w:pStyle w:val="FirstParagraph"/>
      </w:pPr>
      <w:r>
        <w:t xml:space="preserve">São solicitadas por comissões permanentes e especiais e unidades administrativas. Contam com plano de comunicação, elaborado em parceria com a</w:t>
      </w:r>
      <w:r>
        <w:t xml:space="preserve"> </w:t>
      </w:r>
      <w:r>
        <w:t xml:space="preserve">comcom</w:t>
      </w:r>
      <w:r>
        <w:t xml:space="preserve">, trazendo o escopo completo da campanha (mote, objetivo, ações, grade de veiculação etc.).</w:t>
      </w:r>
    </w:p>
    <w:bookmarkEnd w:id="101"/>
    <w:bookmarkStart w:id="107" w:name="eventos-1"/>
    <w:p>
      <w:pPr>
        <w:pStyle w:val="Heading3"/>
      </w:pPr>
      <w:r>
        <w:t xml:space="preserve">Eventos</w:t>
      </w:r>
    </w:p>
    <w:p>
      <w:pPr>
        <w:pStyle w:val="FirstParagraph"/>
      </w:pPr>
      <w:r>
        <w:t xml:space="preserve">A Coordenação de Comunicação do</w:t>
      </w:r>
      <w:r>
        <w:t xml:space="preserve"> </w:t>
      </w:r>
      <w:r>
        <w:t xml:space="preserve">crp</w:t>
      </w:r>
      <w:r>
        <w:t xml:space="preserve"> </w:t>
      </w:r>
      <w:r>
        <w:t xml:space="preserve">é responsável pela gestão de eventos promovidos pela autarquia</w:t>
      </w:r>
      <w:r>
        <w:t xml:space="preserve"> </w:t>
      </w:r>
      <w:r>
        <w:rPr>
          <w:b/>
          <w:bCs/>
        </w:rPr>
        <w:t xml:space="preserve">em nível estadual</w:t>
      </w:r>
      <w:r>
        <w:t xml:space="preserve">, como mostras, seminários, rodas de conversa, congressos, cinedebates, premiações e eventos internos.</w:t>
      </w:r>
    </w:p>
    <w:p>
      <w:pPr>
        <w:pStyle w:val="BodyText"/>
      </w:pPr>
      <w:r>
        <w:t xml:space="preserve">A produção de eventos nos territórios é atribuição das respectivas subsedes, cabendo à Coordenação de Comunicação a orientação e a divulgação, além da disponibilização das seguintes ferramentas digitais:</w:t>
      </w:r>
    </w:p>
    <w:p>
      <w:pPr>
        <w:numPr>
          <w:ilvl w:val="0"/>
          <w:numId w:val="1014"/>
        </w:numPr>
      </w:pPr>
      <w:r>
        <w:t xml:space="preserve">inclusão do evento na Agenda CRP SP;</w:t>
      </w:r>
    </w:p>
    <w:p>
      <w:pPr>
        <w:numPr>
          <w:ilvl w:val="0"/>
          <w:numId w:val="1014"/>
        </w:numPr>
      </w:pPr>
      <w:r>
        <w:t xml:space="preserve">fornecimento de</w:t>
      </w:r>
      <w:r>
        <w:t xml:space="preserve"> </w:t>
      </w:r>
      <w:r>
        <w:t xml:space="preserve">‘link’</w:t>
      </w:r>
      <w:r>
        <w:t xml:space="preserve"> </w:t>
      </w:r>
      <w:r>
        <w:t xml:space="preserve">para inscrição;</w:t>
      </w:r>
    </w:p>
    <w:p>
      <w:pPr>
        <w:numPr>
          <w:ilvl w:val="0"/>
          <w:numId w:val="1014"/>
        </w:numPr>
      </w:pPr>
      <w:r>
        <w:t xml:space="preserve">emissão de certificados.</w:t>
      </w:r>
    </w:p>
    <w:bookmarkStart w:id="102" w:name="atribuições-das-subsedes"/>
    <w:p>
      <w:pPr>
        <w:pStyle w:val="Heading4"/>
      </w:pPr>
      <w:r>
        <w:t xml:space="preserve">Atribuições das subsedes</w:t>
      </w:r>
    </w:p>
    <w:bookmarkEnd w:id="102"/>
    <w:bookmarkStart w:id="105" w:name="fluxo-de-eventos"/>
    <w:p>
      <w:pPr>
        <w:pStyle w:val="Heading4"/>
      </w:pPr>
      <w:r>
        <w:t xml:space="preserve">Fluxo de eventos</w:t>
      </w:r>
    </w:p>
    <w:bookmarkStart w:id="103" w:name="requisição"/>
    <w:p>
      <w:pPr>
        <w:pStyle w:val="Heading5"/>
      </w:pPr>
      <w:r>
        <w:t xml:space="preserve">Requisição</w:t>
      </w:r>
    </w:p>
    <w:p>
      <w:pPr>
        <w:numPr>
          <w:ilvl w:val="0"/>
          <w:numId w:val="1015"/>
        </w:numPr>
      </w:pPr>
      <w:r>
        <w:t xml:space="preserve">Subsede preenche calendário de eventos na nuvem;</w:t>
      </w:r>
    </w:p>
    <w:p>
      <w:pPr>
        <w:numPr>
          <w:ilvl w:val="0"/>
          <w:numId w:val="1015"/>
        </w:numPr>
      </w:pPr>
      <w:r>
        <w:t xml:space="preserve">envia o formulário de evento (roda de conversa</w:t>
      </w:r>
      <w:r>
        <w:t xml:space="preserve"> </w:t>
      </w:r>
      <w:r>
        <w:t xml:space="preserve">‘on-line’</w:t>
      </w:r>
      <w:r>
        <w:t xml:space="preserve"> </w:t>
      </w:r>
      <w:r>
        <w:t xml:space="preserve">ou presencial), com informações completas, para as pessoas responsáveis por eventos na Coordenação de Comunicação;</w:t>
      </w:r>
    </w:p>
    <w:p>
      <w:pPr>
        <w:numPr>
          <w:ilvl w:val="0"/>
          <w:numId w:val="1015"/>
        </w:numPr>
      </w:pPr>
      <w:r>
        <w:t xml:space="preserve">responsável abre inscrição na Agenda CRP SP (no</w:t>
      </w:r>
      <w:r>
        <w:t xml:space="preserve"> </w:t>
      </w:r>
      <w:r>
        <w:t xml:space="preserve">‘site’</w:t>
      </w:r>
      <w:r>
        <w:t xml:space="preserve"> </w:t>
      </w:r>
      <w:r>
        <w:t xml:space="preserve">institucional), verifica a necessidade de tradução para Libras, encerra as inscrições um dia antes do evento e envia a lista de inscritos para a subsede;</w:t>
      </w:r>
    </w:p>
    <w:p>
      <w:pPr>
        <w:numPr>
          <w:ilvl w:val="0"/>
          <w:numId w:val="1015"/>
        </w:numPr>
      </w:pPr>
      <w:r>
        <w:t xml:space="preserve">Coordenação de Comunicação cria</w:t>
      </w:r>
      <w:r>
        <w:t xml:space="preserve"> </w:t>
      </w:r>
      <w:r>
        <w:t xml:space="preserve">‘card’</w:t>
      </w:r>
      <w:r>
        <w:t xml:space="preserve"> </w:t>
      </w:r>
      <w:r>
        <w:t xml:space="preserve">de divulgação, envia para validação da subsede por</w:t>
      </w:r>
      <w:r>
        <w:t xml:space="preserve"> </w:t>
      </w:r>
      <w:r>
        <w:t xml:space="preserve">‘e-mail’</w:t>
      </w:r>
      <w:r>
        <w:t xml:space="preserve"> </w:t>
      </w:r>
      <w:r>
        <w:t xml:space="preserve">e divulga nos canais oficiais;</w:t>
      </w:r>
    </w:p>
    <w:p>
      <w:pPr>
        <w:numPr>
          <w:ilvl w:val="0"/>
          <w:numId w:val="1015"/>
        </w:numPr>
      </w:pPr>
      <w:r>
        <w:t xml:space="preserve">subsede envia listas de presença para que responsáveis por eventos liberem certificado de participação na Agenda CRP SP.</w:t>
      </w:r>
    </w:p>
    <w:bookmarkEnd w:id="103"/>
    <w:bookmarkStart w:id="104" w:name="produção"/>
    <w:p>
      <w:pPr>
        <w:pStyle w:val="Heading5"/>
      </w:pPr>
      <w:r>
        <w:t xml:space="preserve">Produção</w:t>
      </w:r>
    </w:p>
    <w:p>
      <w:pPr>
        <w:numPr>
          <w:ilvl w:val="0"/>
          <w:numId w:val="1016"/>
        </w:numPr>
      </w:pPr>
      <w:r>
        <w:t xml:space="preserve">Inscrições;</w:t>
      </w:r>
    </w:p>
    <w:p>
      <w:pPr>
        <w:numPr>
          <w:ilvl w:val="0"/>
          <w:numId w:val="1016"/>
        </w:numPr>
      </w:pPr>
      <w:r>
        <w:t xml:space="preserve">certificados;</w:t>
      </w:r>
    </w:p>
    <w:p>
      <w:pPr>
        <w:numPr>
          <w:ilvl w:val="0"/>
          <w:numId w:val="1016"/>
        </w:numPr>
      </w:pPr>
      <w:r>
        <w:t xml:space="preserve">divulgação;</w:t>
      </w:r>
    </w:p>
    <w:p>
      <w:pPr>
        <w:numPr>
          <w:ilvl w:val="0"/>
          <w:numId w:val="1016"/>
        </w:numPr>
      </w:pPr>
      <w:r>
        <w:t xml:space="preserve">produção;</w:t>
      </w:r>
    </w:p>
    <w:p>
      <w:pPr>
        <w:numPr>
          <w:ilvl w:val="0"/>
          <w:numId w:val="1016"/>
        </w:numPr>
      </w:pPr>
      <w:r>
        <w:t xml:space="preserve">plenária.</w:t>
      </w:r>
    </w:p>
    <w:bookmarkEnd w:id="104"/>
    <w:bookmarkEnd w:id="105"/>
    <w:bookmarkStart w:id="106" w:name="cobertura-e-transmissão"/>
    <w:p>
      <w:pPr>
        <w:pStyle w:val="Heading4"/>
      </w:pPr>
      <w:r>
        <w:t xml:space="preserve">Cobertura e transmissão</w:t>
      </w:r>
    </w:p>
    <w:bookmarkEnd w:id="106"/>
    <w:bookmarkEnd w:id="107"/>
    <w:bookmarkEnd w:id="108"/>
    <w:bookmarkStart w:id="111" w:name="gestão-e-proteção-de-dados"/>
    <w:p>
      <w:pPr>
        <w:pStyle w:val="Heading2"/>
      </w:pPr>
      <w:r>
        <w:t xml:space="preserve">Gestão e proteção de</w:t>
      </w:r>
      <w:r>
        <w:t xml:space="preserve"> </w:t>
      </w:r>
      <w:r>
        <w:t xml:space="preserve">dados</w:t>
      </w:r>
    </w:p>
    <w:bookmarkStart w:id="110" w:name="audiovisual-1"/>
    <w:p>
      <w:pPr>
        <w:pStyle w:val="Heading3"/>
      </w:pPr>
      <w:r>
        <w:t xml:space="preserve">Audiovisual</w:t>
      </w:r>
    </w:p>
    <w:bookmarkStart w:id="109" w:name="arquivamento"/>
    <w:p>
      <w:pPr>
        <w:pStyle w:val="Heading4"/>
      </w:pPr>
      <w:r>
        <w:t xml:space="preserve">Arquivamento</w:t>
      </w:r>
    </w:p>
    <w:p>
      <w:pPr>
        <w:pStyle w:val="FirstParagraph"/>
      </w:pPr>
      <w:r>
        <w:t xml:space="preserve">Todo o material audiovisual produzido deve ser arquivado e indexado, para que a qualquer tempo seja possível a busca por meio dos seguintes dados:</w:t>
      </w:r>
    </w:p>
    <w:p>
      <w:pPr>
        <w:numPr>
          <w:ilvl w:val="0"/>
          <w:numId w:val="1017"/>
        </w:numPr>
      </w:pPr>
      <w:r>
        <w:t xml:space="preserve">data de criação;</w:t>
      </w:r>
    </w:p>
    <w:p>
      <w:pPr>
        <w:numPr>
          <w:ilvl w:val="0"/>
          <w:numId w:val="1017"/>
        </w:numPr>
      </w:pPr>
      <w:r>
        <w:t xml:space="preserve">descrição geral do assunto (nome de evento, campanha em que se insere etc.);</w:t>
      </w:r>
    </w:p>
    <w:p>
      <w:pPr>
        <w:numPr>
          <w:ilvl w:val="0"/>
          <w:numId w:val="1017"/>
        </w:numPr>
      </w:pPr>
      <w:r>
        <w:t xml:space="preserve">nomes das pessoas gravadas, filmadas ou fotografadas.</w:t>
      </w:r>
    </w:p>
    <w:p>
      <w:pPr>
        <w:pStyle w:val="FirstParagraph"/>
      </w:pPr>
      <w:r>
        <w:rPr>
          <w:b/>
          <w:bCs/>
        </w:rPr>
        <w:t xml:space="preserve">Apêndices</w:t>
      </w:r>
    </w:p>
    <w:bookmarkEnd w:id="109"/>
    <w:bookmarkEnd w:id="110"/>
    <w:bookmarkEnd w:id="111"/>
    <w:bookmarkEnd w:id="112"/>
    <w:bookmarkStart w:id="113" w:name="glossário"/>
    <w:p>
      <w:pPr>
        <w:pStyle w:val="Heading1"/>
      </w:pPr>
      <w:r>
        <w:t xml:space="preserve">Glossário</w:t>
      </w:r>
    </w:p>
    <w:bookmarkEnd w:id="113"/>
    <w:bookmarkStart w:id="167" w:name="padronização-e-estilo"/>
    <w:p>
      <w:pPr>
        <w:pStyle w:val="Heading1"/>
      </w:pPr>
      <w:r>
        <w:t xml:space="preserve">Padronização e estilo</w:t>
      </w:r>
    </w:p>
    <w:bookmarkStart w:id="114" w:name="figuras-tabelas-e-gráficos"/>
    <w:p>
      <w:pPr>
        <w:pStyle w:val="Heading2"/>
      </w:pPr>
      <w:r>
        <w:t xml:space="preserve">Figuras, tabelas e gráficos</w:t>
      </w:r>
    </w:p>
    <w:p>
      <w:pPr>
        <w:numPr>
          <w:ilvl w:val="0"/>
          <w:numId w:val="1018"/>
        </w:numPr>
      </w:pPr>
      <w:r>
        <w:t xml:space="preserve">tabela = quadro;</w:t>
      </w:r>
    </w:p>
    <w:p>
      <w:pPr>
        <w:numPr>
          <w:ilvl w:val="0"/>
          <w:numId w:val="1018"/>
        </w:numPr>
      </w:pPr>
      <w:r>
        <w:t xml:space="preserve">figuras devem ter chamada no texto (de acordo com o projeto gráfico);</w:t>
      </w:r>
    </w:p>
    <w:p>
      <w:pPr>
        <w:numPr>
          <w:ilvl w:val="0"/>
          <w:numId w:val="1018"/>
        </w:numPr>
      </w:pPr>
      <w:r>
        <w:t xml:space="preserve">tabelas e figuras devem ter legendas (de acordo com o projeto gráfico);</w:t>
      </w:r>
    </w:p>
    <w:p>
      <w:pPr>
        <w:numPr>
          <w:ilvl w:val="0"/>
          <w:numId w:val="1018"/>
        </w:numPr>
      </w:pPr>
      <w:r>
        <w:t xml:space="preserve">desenho e diagramação de tabelas e figuras obedecem ao projeto gráfico;</w:t>
      </w:r>
    </w:p>
    <w:p>
      <w:pPr>
        <w:numPr>
          <w:ilvl w:val="0"/>
          <w:numId w:val="1018"/>
        </w:numPr>
      </w:pPr>
      <w:r>
        <w:t xml:space="preserve">tabelas extensas no formato paisagem;</w:t>
      </w:r>
    </w:p>
    <w:p>
      <w:pPr>
        <w:numPr>
          <w:ilvl w:val="0"/>
          <w:numId w:val="1018"/>
        </w:numPr>
      </w:pPr>
      <w:r>
        <w:t xml:space="preserve">créditos de autoria são obrigatórios e devem ser postos no entorno da figura/tabela ou na mesma página, quando se referir a múltiplas figuras/tabelas;</w:t>
      </w:r>
    </w:p>
    <w:p>
      <w:pPr>
        <w:numPr>
          <w:ilvl w:val="0"/>
          <w:numId w:val="1018"/>
        </w:numPr>
      </w:pPr>
      <w:r>
        <w:t xml:space="preserve">licença (quando for o caso) deve constar junto do crédito.</w:t>
      </w:r>
    </w:p>
    <w:bookmarkEnd w:id="114"/>
    <w:bookmarkStart w:id="115" w:name="titulação"/>
    <w:p>
      <w:pPr>
        <w:pStyle w:val="Heading2"/>
      </w:pPr>
      <w:r>
        <w:t xml:space="preserve">Titulação</w:t>
      </w:r>
    </w:p>
    <w:p>
      <w:pPr>
        <w:pStyle w:val="FirstParagraph"/>
      </w:pPr>
      <w:r>
        <w:t xml:space="preserve">(Por produto)</w:t>
      </w:r>
    </w:p>
    <w:bookmarkEnd w:id="115"/>
    <w:bookmarkStart w:id="116" w:name="paginação"/>
    <w:p>
      <w:pPr>
        <w:pStyle w:val="Heading2"/>
      </w:pPr>
      <w:r>
        <w:t xml:space="preserve">Paginação</w:t>
      </w:r>
    </w:p>
    <w:bookmarkEnd w:id="116"/>
    <w:bookmarkStart w:id="123" w:name="destaque"/>
    <w:p>
      <w:pPr>
        <w:pStyle w:val="Heading2"/>
      </w:pPr>
      <w:r>
        <w:t xml:space="preserve">Destaque</w:t>
      </w:r>
    </w:p>
    <w:bookmarkStart w:id="117" w:name="negrito"/>
    <w:p>
      <w:pPr>
        <w:pStyle w:val="Heading3"/>
      </w:pPr>
      <w:r>
        <w:t xml:space="preserve">Negrito</w:t>
      </w:r>
    </w:p>
    <w:bookmarkEnd w:id="117"/>
    <w:bookmarkStart w:id="121" w:name="citações"/>
    <w:p>
      <w:pPr>
        <w:pStyle w:val="Heading3"/>
      </w:pPr>
      <w:r>
        <w:t xml:space="preserve">Citações</w:t>
      </w:r>
    </w:p>
    <w:bookmarkStart w:id="118" w:name="aspas-duplas"/>
    <w:p>
      <w:pPr>
        <w:pStyle w:val="Heading4"/>
      </w:pPr>
      <w:r>
        <w:t xml:space="preserve">Aspas duplas</w:t>
      </w:r>
    </w:p>
    <w:p>
      <w:pPr>
        <w:pStyle w:val="FirstParagraph"/>
      </w:pPr>
      <w:r>
        <w:t xml:space="preserve">Eventos devem ser destacados com aspas duplas, para que possam ser postados em redes sociais.</w:t>
      </w:r>
    </w:p>
    <w:bookmarkEnd w:id="118"/>
    <w:bookmarkStart w:id="119" w:name="aspas-simples"/>
    <w:p>
      <w:pPr>
        <w:pStyle w:val="Heading4"/>
      </w:pPr>
      <w:r>
        <w:t xml:space="preserve">Aspas simples</w:t>
      </w:r>
    </w:p>
    <w:p>
      <w:pPr>
        <w:pStyle w:val="FirstParagraph"/>
      </w:pPr>
      <w:r>
        <w:t xml:space="preserve">Para evitar o uso do itálico (v.</w:t>
      </w:r>
      <w:r>
        <w:t xml:space="preserve"> </w:t>
      </w:r>
      <w:hyperlink w:anchor="acessibilidade">
        <w:r>
          <w:rPr>
            <w:rStyle w:val="Hyperlink"/>
          </w:rPr>
          <w:t xml:space="preserve">5.10</w:t>
        </w:r>
      </w:hyperlink>
      <w:r>
        <w:t xml:space="preserve">), palavras listadas como estrangeiras no (Volp) devem vir entre aspas simples.</w:t>
      </w:r>
    </w:p>
    <w:bookmarkEnd w:id="119"/>
    <w:bookmarkStart w:id="120" w:name="recuos-marginais"/>
    <w:p>
      <w:pPr>
        <w:pStyle w:val="Heading4"/>
      </w:pPr>
      <w:r>
        <w:t xml:space="preserve">Recuos marginais</w:t>
      </w:r>
    </w:p>
    <w:bookmarkEnd w:id="120"/>
    <w:bookmarkEnd w:id="121"/>
    <w:bookmarkStart w:id="122" w:name="itálico"/>
    <w:p>
      <w:pPr>
        <w:pStyle w:val="Heading3"/>
      </w:pPr>
      <w:r>
        <w:t xml:space="preserve">Itálico</w:t>
      </w:r>
    </w:p>
    <w:bookmarkEnd w:id="122"/>
    <w:bookmarkEnd w:id="123"/>
    <w:bookmarkStart w:id="137" w:name="ortografia"/>
    <w:p>
      <w:pPr>
        <w:pStyle w:val="Heading2"/>
      </w:pPr>
      <w:r>
        <w:t xml:space="preserve">Ortografia</w:t>
      </w:r>
    </w:p>
    <w:bookmarkStart w:id="127" w:name="maiúsculas-e-minúsculas"/>
    <w:p>
      <w:pPr>
        <w:pStyle w:val="Heading3"/>
      </w:pPr>
      <w:r>
        <w:t xml:space="preserve">Maiúsculas e minúsculas</w:t>
      </w:r>
    </w:p>
    <w:p>
      <w:pPr>
        <w:pStyle w:val="FirstParagraph"/>
      </w:pPr>
      <w:r>
        <w:t xml:space="preserve">Como regra geral, usam-se maiúsculas e minúsculos para nomes próprios de pessoas, documentos e instituições:</w:t>
      </w:r>
    </w:p>
    <w:p>
      <w:pPr>
        <w:numPr>
          <w:ilvl w:val="0"/>
          <w:numId w:val="1019"/>
        </w:numPr>
      </w:pPr>
      <w:r>
        <w:t xml:space="preserve">Conselho Regional de Psicologia;</w:t>
      </w:r>
    </w:p>
    <w:p>
      <w:pPr>
        <w:numPr>
          <w:ilvl w:val="0"/>
          <w:numId w:val="1019"/>
        </w:numPr>
      </w:pPr>
      <w:r>
        <w:t xml:space="preserve">Prefeitura Municipal de São Paulo.</w:t>
      </w:r>
    </w:p>
    <w:p>
      <w:pPr>
        <w:pStyle w:val="FirstParagraph"/>
      </w:pPr>
      <w:r>
        <w:t xml:space="preserve">Em todos os outros casos, usam-se apenas minúsculas:</w:t>
      </w:r>
    </w:p>
    <w:p>
      <w:pPr>
        <w:numPr>
          <w:ilvl w:val="0"/>
          <w:numId w:val="1020"/>
        </w:numPr>
      </w:pPr>
      <w:r>
        <w:t xml:space="preserve">carteira de identidade profissional (comum a todas as profissões) — confirmar;</w:t>
      </w:r>
    </w:p>
    <w:p>
      <w:pPr>
        <w:numPr>
          <w:ilvl w:val="0"/>
          <w:numId w:val="1020"/>
        </w:numPr>
      </w:pPr>
      <w:r>
        <w:t xml:space="preserve">pessoa física, pessoa jurídica (quando não forem parte do nome de um documento — Cadastro de Pessoa Física, por exemplo)</w:t>
      </w:r>
    </w:p>
    <w:bookmarkStart w:id="126" w:name="exceções"/>
    <w:p>
      <w:pPr>
        <w:pStyle w:val="Heading4"/>
      </w:pPr>
      <w:r>
        <w:t xml:space="preserve">Exceções</w:t>
      </w:r>
    </w:p>
    <w:p>
      <w:pPr>
        <w:pStyle w:val="FirstParagraph"/>
      </w:pPr>
      <w:r>
        <w:t xml:space="preserve">, quando se tratar do Conselho Regional de Psicologia de São Paulo.</w:t>
      </w:r>
    </w:p>
    <w:bookmarkStart w:id="124" w:name="áreas-de-estudo"/>
    <w:p>
      <w:pPr>
        <w:pStyle w:val="Heading5"/>
      </w:pPr>
      <w:r>
        <w:t xml:space="preserve">Áreas de estudo</w:t>
      </w:r>
    </w:p>
    <w:p>
      <w:pPr>
        <w:pStyle w:val="FirstParagraph"/>
      </w:pPr>
      <w:r>
        <w:t xml:space="preserve">Em caixa alta e baixa quando se referir a grandes áreas (Psicologia, Educação, Medicina) e em caixa-baixa quando a subáreas (psicologia clínica); em caixa alta e baixa quando se tratar de bandeiras do CRP (Direitos Humanos, Políticas Públicas — ?).</w:t>
      </w:r>
    </w:p>
    <w:bookmarkEnd w:id="124"/>
    <w:bookmarkStart w:id="125" w:name="títulos-acadêmicos"/>
    <w:p>
      <w:pPr>
        <w:pStyle w:val="Heading5"/>
      </w:pPr>
      <w:r>
        <w:t xml:space="preserve">Títulos acadêmicos</w:t>
      </w:r>
    </w:p>
    <w:p>
      <w:pPr>
        <w:pStyle w:val="FirstParagraph"/>
      </w:pPr>
      <w:r>
        <w:t xml:space="preserve">Usa-se o título apenas para os graus de mestra/e e doutora/doutor. Para especialização (pós-graduação</w:t>
      </w:r>
      <w:r>
        <w:t xml:space="preserve"> </w:t>
      </w:r>
      <w:r>
        <w:t xml:space="preserve">‘lato sensu’</w:t>
      </w:r>
      <w:r>
        <w:t xml:space="preserve">) e pós-doutorado, usa-se</w:t>
      </w:r>
      <w:r>
        <w:t xml:space="preserve"> </w:t>
      </w:r>
      <w:r>
        <w:t xml:space="preserve">“com especialização em”</w:t>
      </w:r>
      <w:r>
        <w:t xml:space="preserve"> </w:t>
      </w:r>
      <w:r>
        <w:t xml:space="preserve">ou</w:t>
      </w:r>
      <w:r>
        <w:t xml:space="preserve"> </w:t>
      </w:r>
      <w:r>
        <w:t xml:space="preserve">“com pós-doutorado em”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Títulos acadêmicos devem vir sempre acompanhados da área de estudo e da instituição que emite o diploma (p. ex., "mestra em Psicologia Escolar e do Desenvolvimento Humano pela Universidade de São Paulo");</w:t>
      </w:r>
    </w:p>
    <w:p>
      <w:pPr>
        <w:numPr>
          <w:ilvl w:val="0"/>
          <w:numId w:val="1021"/>
        </w:numPr>
      </w:pPr>
      <w:r>
        <w:t xml:space="preserve">o título de é reservado para psicólogas/os que obtiveram registro de especialista junto ao CFP.</w:t>
      </w:r>
    </w:p>
    <w:bookmarkEnd w:id="125"/>
    <w:bookmarkEnd w:id="126"/>
    <w:bookmarkEnd w:id="127"/>
    <w:bookmarkStart w:id="131" w:name="sinais-gráficos"/>
    <w:p>
      <w:pPr>
        <w:pStyle w:val="Heading3"/>
      </w:pPr>
      <w:r>
        <w:t xml:space="preserve">Sinais gráficos</w:t>
      </w:r>
    </w:p>
    <w:bookmarkStart w:id="128" w:name="barra"/>
    <w:p>
      <w:pPr>
        <w:pStyle w:val="Heading4"/>
      </w:pPr>
      <w:r>
        <w:t xml:space="preserve">Barra</w:t>
      </w:r>
    </w:p>
    <w:p>
      <w:pPr>
        <w:pStyle w:val="FirstParagraph"/>
      </w:pPr>
      <w:r>
        <w:t xml:space="preserve">Atendimento/Pessoa jurídica (seguindo a lógica das pastas no computador).</w:t>
      </w:r>
    </w:p>
    <w:p>
      <w:pPr>
        <w:pStyle w:val="BodyText"/>
      </w:pPr>
      <w:r>
        <w:t xml:space="preserve">Não deve haver espaço entre a barra (/) e as letras que a circundam..</w:t>
      </w:r>
    </w:p>
    <w:bookmarkEnd w:id="128"/>
    <w:bookmarkStart w:id="130" w:name="hífen"/>
    <w:p>
      <w:pPr>
        <w:pStyle w:val="Heading4"/>
      </w:pPr>
      <w:r>
        <w:t xml:space="preserve">Hífen</w:t>
      </w:r>
    </w:p>
    <w:bookmarkStart w:id="129" w:name="cargos"/>
    <w:p>
      <w:pPr>
        <w:pStyle w:val="Heading5"/>
      </w:pPr>
      <w:r>
        <w:t xml:space="preserve">Cargos</w:t>
      </w:r>
    </w:p>
    <w:p>
      <w:pPr>
        <w:pStyle w:val="FirstParagraph"/>
      </w:pPr>
      <w:r>
        <w:t xml:space="preserve">O hífen deve ser usado quando o termo composto define uma posição hierárquica: vice-presidente, coordenador-adjunto etc.</w:t>
      </w:r>
    </w:p>
    <w:p>
      <w:pPr>
        <w:pStyle w:val="BodyText"/>
      </w:pPr>
      <w:r>
        <w:t xml:space="preserve">Não se usa hífen quando se trata de funções simultâneas, como conselheira presidente.</w:t>
      </w:r>
    </w:p>
    <w:bookmarkEnd w:id="129"/>
    <w:bookmarkEnd w:id="130"/>
    <w:bookmarkEnd w:id="131"/>
    <w:bookmarkStart w:id="132" w:name="parêntese"/>
    <w:p>
      <w:pPr>
        <w:pStyle w:val="Heading3"/>
      </w:pPr>
      <w:r>
        <w:t xml:space="preserve">Parêntese</w:t>
      </w:r>
    </w:p>
    <w:bookmarkEnd w:id="132"/>
    <w:bookmarkStart w:id="136" w:name="X45126b219410abf5b6b4bc75804795698ef7cea"/>
    <w:p>
      <w:pPr>
        <w:pStyle w:val="Heading3"/>
      </w:pPr>
      <w:r>
        <w:t xml:space="preserve">Grafia oficial das comissões e produtos de comunicação do CRP SP</w:t>
      </w:r>
    </w:p>
    <w:bookmarkStart w:id="133" w:name="Xd06c28be328cdeac17002b3d239944888ece7ea"/>
    <w:p>
      <w:pPr>
        <w:pStyle w:val="Heading4"/>
      </w:pPr>
      <w:r>
        <w:t xml:space="preserve">Conselho Regional de Psicologia da 6ª Região</w:t>
      </w:r>
    </w:p>
    <w:p>
      <w:pPr>
        <w:pStyle w:val="FirstParagraph"/>
      </w:pPr>
      <w:r>
        <w:t xml:space="preserve">O nome</w:t>
      </w:r>
      <w:r>
        <w:t xml:space="preserve"> </w:t>
      </w:r>
      <w:r>
        <w:t xml:space="preserve">crp</w:t>
      </w:r>
      <w:r>
        <w:t xml:space="preserve"> </w:t>
      </w:r>
      <w:r>
        <w:t xml:space="preserve">deve ser grafado com um espaço incondicional (Alt+0160) entre a sigla do Conselho e a do estado. Isso evita a translineação, quer dizer, que o nome seja dividido pelos programas de edição de texto (CRP numa linha e SP em outra).</w:t>
      </w:r>
    </w:p>
    <w:p>
      <w:pPr>
        <w:pStyle w:val="BodyText"/>
      </w:pPr>
      <w:r>
        <w:t xml:space="preserve">O número indicativo da região (6ª Região) deve ser feito entre parênteses (trata-se de informação complementar).</w:t>
      </w:r>
    </w:p>
    <w:bookmarkEnd w:id="133"/>
    <w:bookmarkStart w:id="134" w:name="comissões"/>
    <w:p>
      <w:pPr>
        <w:pStyle w:val="Heading4"/>
      </w:pPr>
      <w:r>
        <w:t xml:space="preserve">Comissões</w:t>
      </w:r>
    </w:p>
    <w:p>
      <w:pPr>
        <w:numPr>
          <w:ilvl w:val="0"/>
          <w:numId w:val="1022"/>
        </w:numPr>
      </w:pPr>
      <w:r>
        <w:t xml:space="preserve">Comissão de auditoria e controle interno</w:t>
      </w:r>
    </w:p>
    <w:p>
      <w:pPr>
        <w:numPr>
          <w:ilvl w:val="0"/>
          <w:numId w:val="1022"/>
        </w:numPr>
      </w:pPr>
      <w:r>
        <w:t xml:space="preserve">Câmara de Mediação da COE</w:t>
      </w:r>
    </w:p>
    <w:p>
      <w:pPr>
        <w:numPr>
          <w:ilvl w:val="0"/>
          <w:numId w:val="1022"/>
        </w:numPr>
      </w:pPr>
      <w:r>
        <w:t xml:space="preserve">Comissão de análise de registro de Psicólogo/a especialista</w:t>
      </w:r>
    </w:p>
    <w:p>
      <w:pPr>
        <w:numPr>
          <w:ilvl w:val="0"/>
          <w:numId w:val="1022"/>
        </w:numPr>
      </w:pPr>
      <w:r>
        <w:t xml:space="preserve">Comissão Especial de Direitos Humanos</w:t>
      </w:r>
    </w:p>
    <w:p>
      <w:pPr>
        <w:numPr>
          <w:ilvl w:val="0"/>
          <w:numId w:val="1022"/>
        </w:numPr>
      </w:pPr>
      <w:r>
        <w:t xml:space="preserve">Comissão Especial de História e Memória da Psicologia</w:t>
      </w:r>
    </w:p>
    <w:p>
      <w:pPr>
        <w:numPr>
          <w:ilvl w:val="0"/>
          <w:numId w:val="1022"/>
        </w:numPr>
      </w:pPr>
      <w:r>
        <w:t xml:space="preserve">Comissão Permanente de Licitação</w:t>
      </w:r>
    </w:p>
    <w:p>
      <w:pPr>
        <w:numPr>
          <w:ilvl w:val="0"/>
          <w:numId w:val="1022"/>
        </w:numPr>
      </w:pPr>
      <w:r>
        <w:t xml:space="preserve">Comissão de Ética</w:t>
      </w:r>
    </w:p>
    <w:p>
      <w:pPr>
        <w:numPr>
          <w:ilvl w:val="0"/>
          <w:numId w:val="1022"/>
        </w:numPr>
      </w:pPr>
      <w:r>
        <w:t xml:space="preserve">Comissão de Orientação e Fiscalização</w:t>
      </w:r>
    </w:p>
    <w:p>
      <w:pPr>
        <w:numPr>
          <w:ilvl w:val="0"/>
          <w:numId w:val="1022"/>
        </w:numPr>
      </w:pPr>
      <w:r>
        <w:t xml:space="preserve">Comissão de Comunicação</w:t>
      </w:r>
    </w:p>
    <w:p>
      <w:pPr>
        <w:numPr>
          <w:ilvl w:val="0"/>
          <w:numId w:val="1022"/>
        </w:numPr>
      </w:pPr>
      <w:r>
        <w:t xml:space="preserve">Comissão Especial Processo Legislativo e Concursos</w:t>
      </w:r>
    </w:p>
    <w:p>
      <w:pPr>
        <w:numPr>
          <w:ilvl w:val="0"/>
          <w:numId w:val="1022"/>
        </w:numPr>
      </w:pPr>
      <w:r>
        <w:t xml:space="preserve">Centro de referências técnicas em Psicologia e Políticas Públicas</w:t>
      </w:r>
    </w:p>
    <w:p>
      <w:pPr>
        <w:numPr>
          <w:ilvl w:val="0"/>
          <w:numId w:val="1022"/>
        </w:numPr>
      </w:pPr>
      <w:r>
        <w:t xml:space="preserve">Comissão Especial Riscos, Emergências e Desastres</w:t>
      </w:r>
    </w:p>
    <w:p>
      <w:pPr>
        <w:numPr>
          <w:ilvl w:val="0"/>
          <w:numId w:val="1022"/>
        </w:numPr>
      </w:pPr>
      <w:r>
        <w:t xml:space="preserve">Comissão Especial Relações Étnico-Raciais</w:t>
      </w:r>
    </w:p>
    <w:bookmarkEnd w:id="134"/>
    <w:bookmarkStart w:id="135" w:name="produtos-de-comunicação"/>
    <w:p>
      <w:pPr>
        <w:pStyle w:val="Heading4"/>
      </w:pPr>
      <w:r>
        <w:t xml:space="preserve">Produtos de comunicação</w:t>
      </w:r>
    </w:p>
    <w:bookmarkEnd w:id="135"/>
    <w:bookmarkEnd w:id="136"/>
    <w:bookmarkEnd w:id="137"/>
    <w:bookmarkStart w:id="142" w:name="itens-alíneas-enumerações"/>
    <w:p>
      <w:pPr>
        <w:pStyle w:val="Heading2"/>
      </w:pPr>
      <w:r>
        <w:t xml:space="preserve">Itens, alíneas, enumerações</w:t>
      </w:r>
    </w:p>
    <w:bookmarkStart w:id="141" w:name="listas-e-enumerações"/>
    <w:p>
      <w:pPr>
        <w:pStyle w:val="Heading3"/>
      </w:pPr>
      <w:r>
        <w:t xml:space="preserve">listas e enumerações</w:t>
      </w:r>
    </w:p>
    <w:p>
      <w:pPr>
        <w:numPr>
          <w:ilvl w:val="0"/>
          <w:numId w:val="1023"/>
        </w:numPr>
      </w:pPr>
      <w:r>
        <w:t xml:space="preserve">Podem ser utilizadas quando houver</w:t>
      </w:r>
      <w:r>
        <w:t xml:space="preserve"> </w:t>
      </w:r>
      <w:hyperlink r:id="rId138">
        <w:r>
          <w:rPr>
            <w:rStyle w:val="Hyperlink"/>
          </w:rPr>
          <w:t xml:space="preserve">três ou mais itens relacionados</w:t>
        </w:r>
      </w:hyperlink>
    </w:p>
    <w:p>
      <w:pPr>
        <w:numPr>
          <w:ilvl w:val="0"/>
          <w:numId w:val="1023"/>
        </w:numPr>
      </w:pPr>
      <w:r>
        <w:t xml:space="preserve">documentos, informações reunidas etc.</w:t>
      </w:r>
    </w:p>
    <w:bookmarkStart w:id="139" w:name="listas-não-numeradas"/>
    <w:p>
      <w:pPr>
        <w:pStyle w:val="Heading4"/>
      </w:pPr>
      <w:r>
        <w:t xml:space="preserve">Listas não numeradas</w:t>
      </w:r>
    </w:p>
    <w:p>
      <w:pPr>
        <w:pStyle w:val="FirstParagraph"/>
      </w:pPr>
      <w:r>
        <w:t xml:space="preserve">Utilizar</w:t>
      </w:r>
      <w:r>
        <w:t xml:space="preserve"> </w:t>
      </w:r>
      <w:r>
        <w:t xml:space="preserve">‘bullets’</w:t>
      </w:r>
      <w:r>
        <w:t xml:space="preserve">.</w:t>
      </w:r>
    </w:p>
    <w:bookmarkEnd w:id="139"/>
    <w:bookmarkStart w:id="140" w:name="listas-numeradas"/>
    <w:p>
      <w:pPr>
        <w:pStyle w:val="Heading4"/>
      </w:pPr>
      <w:r>
        <w:t xml:space="preserve">Listas numeradas</w:t>
      </w:r>
    </w:p>
    <w:p>
      <w:pPr>
        <w:pStyle w:val="FirstParagraph"/>
      </w:pPr>
      <w:r>
        <w:t xml:space="preserve">Utilizadas para passo a passo, processos que envolvem diversas etapas etc.</w:t>
      </w:r>
    </w:p>
    <w:bookmarkEnd w:id="140"/>
    <w:bookmarkEnd w:id="141"/>
    <w:bookmarkEnd w:id="142"/>
    <w:bookmarkStart w:id="154" w:name="numerais"/>
    <w:p>
      <w:pPr>
        <w:pStyle w:val="Heading2"/>
      </w:pPr>
      <w:r>
        <w:t xml:space="preserve">Numerais</w:t>
      </w:r>
    </w:p>
    <w:bookmarkStart w:id="146" w:name="data-e-hora"/>
    <w:p>
      <w:pPr>
        <w:pStyle w:val="Heading3"/>
      </w:pPr>
      <w:r>
        <w:t xml:space="preserve">Data e hora</w:t>
      </w:r>
    </w:p>
    <w:bookmarkStart w:id="143" w:name="datas-por-extenso"/>
    <w:p>
      <w:pPr>
        <w:pStyle w:val="Heading4"/>
      </w:pPr>
      <w:r>
        <w:t xml:space="preserve">Datas por extenso</w:t>
      </w:r>
    </w:p>
    <w:p>
      <w:pPr>
        <w:numPr>
          <w:ilvl w:val="0"/>
          <w:numId w:val="1024"/>
        </w:numPr>
      </w:pPr>
      <w:r>
        <w:t xml:space="preserve">Não se usa o algarismo</w:t>
      </w:r>
      <w:r>
        <w:t xml:space="preserve"> </w:t>
      </w:r>
      <w:r>
        <w:t xml:space="preserve">“0”</w:t>
      </w:r>
      <w:r>
        <w:t xml:space="preserve">;</w:t>
      </w:r>
    </w:p>
    <w:p>
      <w:pPr>
        <w:numPr>
          <w:ilvl w:val="0"/>
          <w:numId w:val="1024"/>
        </w:numPr>
      </w:pPr>
      <w:r>
        <w:t xml:space="preserve">“1”</w:t>
      </w:r>
      <w:r>
        <w:t xml:space="preserve"> </w:t>
      </w:r>
      <w:r>
        <w:t xml:space="preserve">deve ser grafado como</w:t>
      </w:r>
      <w:r>
        <w:t xml:space="preserve"> </w:t>
      </w:r>
      <w:r>
        <w:t xml:space="preserve">“primeiro”</w:t>
      </w:r>
      <w:r>
        <w:t xml:space="preserve"> </w:t>
      </w:r>
      <w:r>
        <w:t xml:space="preserve">(1º);</w:t>
      </w:r>
    </w:p>
    <w:p>
      <w:pPr>
        <w:numPr>
          <w:ilvl w:val="0"/>
          <w:numId w:val="1024"/>
        </w:numPr>
      </w:pPr>
      <w:r>
        <w:t xml:space="preserve">espaço incondicional entre o número do dia e o mês.</w:t>
      </w:r>
    </w:p>
    <w:bookmarkEnd w:id="143"/>
    <w:bookmarkStart w:id="144" w:name="datas-abreviadas"/>
    <w:p>
      <w:pPr>
        <w:pStyle w:val="Heading4"/>
      </w:pPr>
      <w:r>
        <w:t xml:space="preserve">Datas abreviadas</w:t>
      </w:r>
    </w:p>
    <w:p>
      <w:pPr>
        <w:numPr>
          <w:ilvl w:val="0"/>
          <w:numId w:val="1025"/>
        </w:numPr>
      </w:pPr>
      <w:r>
        <w:t xml:space="preserve">Números menores que dez devem ser precedidos do algarismo</w:t>
      </w:r>
      <w:r>
        <w:t xml:space="preserve"> </w:t>
      </w:r>
      <w:r>
        <w:t xml:space="preserve">“0”</w:t>
      </w:r>
      <w:r>
        <w:t xml:space="preserve">;</w:t>
      </w:r>
    </w:p>
    <w:bookmarkEnd w:id="144"/>
    <w:bookmarkStart w:id="145" w:name="hora"/>
    <w:p>
      <w:pPr>
        <w:pStyle w:val="Heading4"/>
      </w:pPr>
      <w:r>
        <w:t xml:space="preserve">Hora</w:t>
      </w:r>
    </w:p>
    <w:bookmarkEnd w:id="145"/>
    <w:bookmarkEnd w:id="146"/>
    <w:bookmarkStart w:id="148" w:name="cardinais-e-ordinais"/>
    <w:p>
      <w:pPr>
        <w:pStyle w:val="Heading3"/>
      </w:pPr>
      <w:r>
        <w:t xml:space="preserve">Cardinais e ordinais</w:t>
      </w:r>
    </w:p>
    <w:bookmarkStart w:id="147" w:name="ordinais"/>
    <w:p>
      <w:pPr>
        <w:pStyle w:val="Heading4"/>
      </w:pPr>
      <w:r>
        <w:t xml:space="preserve">Ordinais</w:t>
      </w:r>
    </w:p>
    <w:p>
      <w:pPr>
        <w:pStyle w:val="FirstParagraph"/>
      </w:pPr>
      <w:r>
        <w:t xml:space="preserve">feminino (1ª): Alt + 166</w:t>
      </w:r>
      <w:r>
        <w:t xml:space="preserve"> </w:t>
      </w:r>
      <w:r>
        <w:t xml:space="preserve">masculino (1º): Alt + 167</w:t>
      </w:r>
    </w:p>
    <w:bookmarkEnd w:id="147"/>
    <w:bookmarkEnd w:id="148"/>
    <w:bookmarkStart w:id="150" w:name="sinais-matemáticos"/>
    <w:p>
      <w:pPr>
        <w:pStyle w:val="Heading3"/>
      </w:pPr>
      <w:r>
        <w:t xml:space="preserve">Sinais matemáticos</w:t>
      </w:r>
    </w:p>
    <w:bookmarkStart w:id="149" w:name="oposição"/>
    <w:p>
      <w:pPr>
        <w:pStyle w:val="Heading4"/>
      </w:pPr>
      <w:r>
        <w:t xml:space="preserve">Oposição</w:t>
      </w:r>
    </w:p>
    <w:p>
      <w:pPr>
        <w:pStyle w:val="FirstParagraph"/>
      </w:pPr>
      <w:r>
        <w:t xml:space="preserve">× (multiplicação ou oposição — m.q. *vs.*) = Alt + 0215</w:t>
      </w:r>
    </w:p>
    <w:bookmarkEnd w:id="149"/>
    <w:bookmarkEnd w:id="150"/>
    <w:bookmarkStart w:id="151" w:name="X44ebc51751efda01bef0a80d06a88234193931a"/>
    <w:p>
      <w:pPr>
        <w:pStyle w:val="Heading3"/>
      </w:pPr>
      <w:r>
        <w:t xml:space="preserve">Numerais em leis, portarias, resoluções etc.</w:t>
      </w:r>
    </w:p>
    <w:bookmarkEnd w:id="151"/>
    <w:bookmarkStart w:id="152" w:name="numerais-com-unidades-de-medida"/>
    <w:p>
      <w:pPr>
        <w:pStyle w:val="Heading3"/>
      </w:pPr>
      <w:r>
        <w:t xml:space="preserve">Numerais com unidades de medida</w:t>
      </w:r>
    </w:p>
    <w:bookmarkEnd w:id="152"/>
    <w:bookmarkStart w:id="153" w:name="chamadas-de-nota"/>
    <w:p>
      <w:pPr>
        <w:pStyle w:val="Heading3"/>
      </w:pPr>
      <w:r>
        <w:t xml:space="preserve">Chamadas de nota</w:t>
      </w:r>
    </w:p>
    <w:p>
      <w:pPr>
        <w:pStyle w:val="FirstParagraph"/>
      </w:pPr>
      <w:r>
        <w:t xml:space="preserve">devem ser posicionadas após a pontuação</w:t>
      </w:r>
    </w:p>
    <w:bookmarkEnd w:id="153"/>
    <w:bookmarkEnd w:id="154"/>
    <w:bookmarkStart w:id="157" w:name="siglas-e-abreviações"/>
    <w:p>
      <w:pPr>
        <w:pStyle w:val="Heading2"/>
      </w:pPr>
      <w:r>
        <w:t xml:space="preserve">Siglas e abreviações</w:t>
      </w:r>
    </w:p>
    <w:bookmarkStart w:id="155" w:name="abreviações"/>
    <w:p>
      <w:pPr>
        <w:pStyle w:val="Heading3"/>
      </w:pPr>
      <w:r>
        <w:t xml:space="preserve">Abreviações</w:t>
      </w:r>
    </w:p>
    <w:p>
      <w:pPr>
        <w:pStyle w:val="FirstParagraph"/>
      </w:pPr>
      <w:r>
        <w:t xml:space="preserve">Nomes abreviados não trazem espaço entre o ponto e a letra abreviada seguinte (S.J. dos Campos).</w:t>
      </w:r>
    </w:p>
    <w:bookmarkEnd w:id="155"/>
    <w:bookmarkStart w:id="156" w:name="siglas"/>
    <w:p>
      <w:pPr>
        <w:pStyle w:val="Heading3"/>
      </w:pPr>
      <w:r>
        <w:t xml:space="preserve">Siglas</w:t>
      </w:r>
    </w:p>
    <w:p>
      <w:pPr>
        <w:pStyle w:val="FirstParagraph"/>
      </w:pPr>
      <w:r>
        <w:t xml:space="preserve">Siglas não devem ter o plural flexionado (as ONG, os CRP etc.).</w:t>
      </w:r>
    </w:p>
    <w:bookmarkEnd w:id="156"/>
    <w:bookmarkEnd w:id="157"/>
    <w:bookmarkStart w:id="159" w:name="gramática"/>
    <w:p>
      <w:pPr>
        <w:pStyle w:val="Heading2"/>
      </w:pPr>
      <w:r>
        <w:t xml:space="preserve">Gramática</w:t>
      </w:r>
    </w:p>
    <w:bookmarkStart w:id="158" w:name="plural"/>
    <w:p>
      <w:pPr>
        <w:pStyle w:val="Heading3"/>
      </w:pPr>
      <w:r>
        <w:t xml:space="preserve">Plural</w:t>
      </w:r>
    </w:p>
    <w:p>
      <w:pPr>
        <w:pStyle w:val="FirstParagraph"/>
      </w:pPr>
      <w:r>
        <w:t xml:space="preserve">Atenção a coletivos, metonímias e termos abstratos que não devem ser flexionados no plural: (e não</w:t>
      </w:r>
      <w:r>
        <w:t xml:space="preserve"> </w:t>
      </w:r>
      <w:r>
        <w:t xml:space="preserve">“legislações”</w:t>
      </w:r>
      <w:r>
        <w:t xml:space="preserve">), (evitar</w:t>
      </w:r>
      <w:r>
        <w:t xml:space="preserve"> </w:t>
      </w:r>
      <w:r>
        <w:t xml:space="preserve">“materiais”</w:t>
      </w:r>
      <w:r>
        <w:t xml:space="preserve">) e (e não</w:t>
      </w:r>
      <w:r>
        <w:t xml:space="preserve"> </w:t>
      </w:r>
      <w:r>
        <w:t xml:space="preserve">“violências”</w:t>
      </w:r>
      <w:r>
        <w:t xml:space="preserve">).</w:t>
      </w:r>
    </w:p>
    <w:bookmarkEnd w:id="158"/>
    <w:bookmarkEnd w:id="159"/>
    <w:bookmarkStart w:id="163" w:name="acessibilidade"/>
    <w:p>
      <w:pPr>
        <w:pStyle w:val="Heading2"/>
      </w:pPr>
      <w:r>
        <w:t xml:space="preserve">Acessibilidade</w:t>
      </w:r>
    </w:p>
    <w:p>
      <w:pPr>
        <w:numPr>
          <w:ilvl w:val="0"/>
          <w:numId w:val="1026"/>
        </w:numPr>
      </w:pPr>
      <w:hyperlink r:id="rId160">
        <w:r>
          <w:rPr>
            <w:rStyle w:val="Hyperlink"/>
          </w:rPr>
          <w:t xml:space="preserve">incluir diversos títulos e subtítulos</w:t>
        </w:r>
      </w:hyperlink>
      <w:r>
        <w:t xml:space="preserve"> </w:t>
      </w:r>
      <w:r>
        <w:t xml:space="preserve">e listas não numeradas, para que se evitem grandes blocos de texto (preferir parágrafos curtos);</w:t>
      </w:r>
    </w:p>
    <w:p>
      <w:pPr>
        <w:numPr>
          <w:ilvl w:val="0"/>
          <w:numId w:val="1026"/>
        </w:numPr>
      </w:pPr>
      <w:r>
        <w:t xml:space="preserve">complementar o texto com infográficos, vídeos, imagens, áudio;</w:t>
      </w:r>
    </w:p>
    <w:p>
      <w:pPr>
        <w:numPr>
          <w:ilvl w:val="0"/>
          <w:numId w:val="1026"/>
        </w:numPr>
      </w:pPr>
      <w:r>
        <w:t xml:space="preserve">evitar o uso de itálico;</w:t>
      </w:r>
    </w:p>
    <w:p>
      <w:pPr>
        <w:numPr>
          <w:ilvl w:val="0"/>
          <w:numId w:val="1026"/>
        </w:numPr>
      </w:pPr>
      <w:r>
        <w:t xml:space="preserve">atentar para a extensão das linhas, que deve ser de 50 a 75 caracteres (ou entre 40 e 50 para texto em duas colunas)</w:t>
      </w:r>
    </w:p>
    <w:p>
      <w:pPr>
        <w:numPr>
          <w:ilvl w:val="1"/>
          <w:numId w:val="1027"/>
        </w:numPr>
      </w:pPr>
      <w:r>
        <w:t xml:space="preserve">altura da linha de 150% do tamanho da fonte;</w:t>
      </w:r>
    </w:p>
    <w:p>
      <w:pPr>
        <w:numPr>
          <w:ilvl w:val="1"/>
          <w:numId w:val="1027"/>
        </w:numPr>
      </w:pPr>
      <w:r>
        <w:t xml:space="preserve">fontes de 18 pixels no mínimo (para web);</w:t>
      </w:r>
    </w:p>
    <w:p>
      <w:pPr>
        <w:numPr>
          <w:ilvl w:val="0"/>
          <w:numId w:val="1027"/>
        </w:numPr>
      </w:pPr>
      <w:r>
        <w:t xml:space="preserve">utilizar fontes populares;</w:t>
      </w:r>
    </w:p>
    <w:p>
      <w:pPr>
        <w:numPr>
          <w:ilvl w:val="0"/>
          <w:numId w:val="1027"/>
        </w:numPr>
      </w:pPr>
      <w:r>
        <w:t xml:space="preserve">considerar a inclusão de glossários e listas de siglas nos documentos;</w:t>
      </w:r>
    </w:p>
    <w:p>
      <w:pPr>
        <w:numPr>
          <w:ilvl w:val="0"/>
          <w:numId w:val="1027"/>
        </w:numPr>
      </w:pPr>
      <w:r>
        <w:t xml:space="preserve">utilizar sinais gráficos corretos (reticências etc.);</w:t>
      </w:r>
    </w:p>
    <w:p>
      <w:pPr>
        <w:numPr>
          <w:ilvl w:val="0"/>
          <w:numId w:val="1027"/>
        </w:numPr>
      </w:pPr>
      <w:r>
        <w:t xml:space="preserve">textos alternativos para imagens (exceto quando a imagem for decorativa/ilustrativa e não trouxer informações que não se encontram no texto) e de conteúdos gerados externamente ao InDesign (no Illustrator, por exemplo);</w:t>
      </w:r>
    </w:p>
    <w:p>
      <w:pPr>
        <w:numPr>
          <w:ilvl w:val="0"/>
          <w:numId w:val="1027"/>
        </w:numPr>
      </w:pPr>
      <w:r>
        <w:t xml:space="preserve">incluir títulos em tabelas;</w:t>
      </w:r>
    </w:p>
    <w:p>
      <w:pPr>
        <w:numPr>
          <w:ilvl w:val="0"/>
          <w:numId w:val="1027"/>
        </w:numPr>
      </w:pPr>
      <w:r>
        <w:t xml:space="preserve">não confiar apenas nas cores para elaborar legendas (em gráficos, por exemplo);</w:t>
      </w:r>
    </w:p>
    <w:p>
      <w:pPr>
        <w:numPr>
          <w:ilvl w:val="0"/>
          <w:numId w:val="1027"/>
        </w:numPr>
      </w:pPr>
      <w:r>
        <w:t xml:space="preserve">utilizar</w:t>
      </w:r>
      <w:r>
        <w:t xml:space="preserve"> </w:t>
      </w:r>
      <w:hyperlink r:id="rId161">
        <w:r>
          <w:rPr>
            <w:rStyle w:val="Hyperlink"/>
          </w:rPr>
          <w:t xml:space="preserve">âncoras de conteúdo</w:t>
        </w:r>
      </w:hyperlink>
      <w:r>
        <w:t xml:space="preserve"> </w:t>
      </w:r>
      <w:r>
        <w:t xml:space="preserve">(minissumários no início de cada seção autônoma);</w:t>
      </w:r>
    </w:p>
    <w:p>
      <w:pPr>
        <w:numPr>
          <w:ilvl w:val="0"/>
          <w:numId w:val="1027"/>
        </w:numPr>
      </w:pPr>
      <w:hyperlink r:id="rId161">
        <w:r>
          <w:rPr>
            <w:rStyle w:val="Hyperlink"/>
          </w:rPr>
          <w:t xml:space="preserve">não utilizar tabelas para diagramação</w:t>
        </w:r>
      </w:hyperlink>
      <w:r>
        <w:t xml:space="preserve">;</w:t>
      </w:r>
    </w:p>
    <w:p>
      <w:pPr>
        <w:numPr>
          <w:ilvl w:val="0"/>
          <w:numId w:val="1027"/>
        </w:numPr>
      </w:pPr>
      <w:hyperlink r:id="rId162">
        <w:r>
          <w:rPr>
            <w:rStyle w:val="Hyperlink"/>
          </w:rPr>
          <w:t xml:space="preserve">números podem ser escritos por extenso em material impresso/PDF, mas [devem ser grafados em algarismos arábicos na web</w:t>
        </w:r>
      </w:hyperlink>
      <w:r>
        <w:t xml:space="preserve">;</w:t>
      </w:r>
    </w:p>
    <w:p>
      <w:pPr>
        <w:numPr>
          <w:ilvl w:val="0"/>
          <w:numId w:val="1027"/>
        </w:numPr>
      </w:pPr>
      <w:hyperlink r:id="rId161">
        <w:r>
          <w:rPr>
            <w:rStyle w:val="Hyperlink"/>
          </w:rPr>
          <w:t xml:space="preserve">identificar o idioma principal do documento e informar quando houver mudança</w:t>
        </w:r>
      </w:hyperlink>
      <w:r>
        <w:t xml:space="preserve">.</w:t>
      </w:r>
    </w:p>
    <w:bookmarkEnd w:id="163"/>
    <w:bookmarkStart w:id="166" w:name="toponímia"/>
    <w:p>
      <w:pPr>
        <w:pStyle w:val="Heading2"/>
      </w:pPr>
      <w:r>
        <w:t xml:space="preserve">Toponímia</w:t>
      </w:r>
    </w:p>
    <w:bookmarkStart w:id="165" w:name="logradouros"/>
    <w:p>
      <w:pPr>
        <w:pStyle w:val="Heading3"/>
      </w:pPr>
      <w:r>
        <w:t xml:space="preserve">Logradouros</w:t>
      </w:r>
    </w:p>
    <w:p>
      <w:pPr>
        <w:pStyle w:val="FirstParagraph"/>
      </w:pPr>
      <w:r>
        <w:t xml:space="preserve">Seguindo o princípio de acordo com o qual usa-se caixa alta e baixa em nomes próprios (</w:t>
      </w:r>
      <w:r>
        <w:t xml:space="preserve">“Programa de Pós-Graduação em Psicologia”</w:t>
      </w:r>
      <w:r>
        <w:t xml:space="preserve">), podemos adotar "rua" quando não houver nome que a caracterize (</w:t>
      </w:r>
      <w:r>
        <w:t xml:space="preserve">“as ruas de São Paulo”</w:t>
      </w:r>
      <w:r>
        <w:t xml:space="preserve">,</w:t>
      </w:r>
      <w:r>
        <w:t xml:space="preserve"> </w:t>
      </w:r>
      <w:r>
        <w:t xml:space="preserve">“na rua do CRP”</w:t>
      </w:r>
      <w:r>
        <w:t xml:space="preserve">) e</w:t>
      </w:r>
      <w:r>
        <w:t xml:space="preserve"> </w:t>
      </w:r>
      <w:r>
        <w:t xml:space="preserve">“Rua Teodoro Sampaio”</w:t>
      </w:r>
      <w:r>
        <w:t xml:space="preserve"> </w:t>
      </w:r>
      <w:r>
        <w:t xml:space="preserve">quando for seguida do nome. Ou não.</w:t>
      </w:r>
    </w:p>
    <w:bookmarkStart w:id="164" w:name="estados"/>
    <w:p>
      <w:pPr>
        <w:pStyle w:val="Heading4"/>
      </w:pPr>
      <w:r>
        <w:t xml:space="preserve">Estados</w:t>
      </w:r>
    </w:p>
    <w:p>
      <w:pPr>
        <w:pStyle w:val="FirstParagraph"/>
      </w:pPr>
      <w:r>
        <w:t xml:space="preserve">Seguindo o princípio adotado nas regras de gendramento segundo o qual a barra indica alternância, indicam-se os nomes de estados entre parênteses:</w:t>
      </w:r>
    </w:p>
    <w:p>
      <w:pPr>
        <w:pStyle w:val="BodyText"/>
      </w:pPr>
      <w:r>
        <w:t xml:space="preserve">Lorena (SP)</w:t>
      </w:r>
    </w:p>
    <w:p>
      <w:pPr>
        <w:pStyle w:val="BodyText"/>
      </w:pPr>
      <w:r>
        <w:t xml:space="preserve">Obs.: nas normas de referências bibliográficas da ABNT, cidade e estado são separados por vírgulas:</w:t>
      </w:r>
    </w:p>
    <w:p>
      <w:pPr>
        <w:pStyle w:val="BodyText"/>
      </w:pPr>
      <w:r>
        <w:t xml:space="preserve">Lorena, SP</w:t>
      </w:r>
    </w:p>
    <w:bookmarkEnd w:id="164"/>
    <w:bookmarkEnd w:id="165"/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PAULO, Vicente; ALEXANDRINO, Marcelo.</w:t>
      </w:r>
      <w:r>
        <w:t xml:space="preserve"> </w:t>
      </w:r>
      <w:r>
        <w:rPr>
          <w:b/>
          <w:bCs/>
        </w:rPr>
        <w:t xml:space="preserve">Direito constitucional descomplicado</w:t>
      </w:r>
      <w:r>
        <w:t xml:space="preserve">. 8. ed. Rio de Janeiro: Forense; São Paulo: Método, 2012.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BRASIL. [Constituição (1988)].</w:t>
      </w:r>
      <w:r>
        <w:t xml:space="preserve"> </w:t>
      </w:r>
      <w:r>
        <w:rPr>
          <w:b/>
          <w:bCs/>
        </w:rPr>
        <w:t xml:space="preserve">Constituição da República Federativa do Brasil</w:t>
      </w:r>
      <w:r>
        <w:t xml:space="preserve">. Brasília, DF: Presidência da República, [2024].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://bibliotecadigita1.hospedagemdesites.ws/wp-content/uploads/2022/08/Co%CC%81digo-de-e%CC%81tica-profissional-dao-psico%CC%81logo.pdf" TargetMode="External" /><Relationship Type="http://schemas.openxmlformats.org/officeDocument/2006/relationships/hyperlink" Id="rId160" Target="https://axesslab.com/fonts-dont-matter/" TargetMode="External" /><Relationship Type="http://schemas.openxmlformats.org/officeDocument/2006/relationships/hyperlink" Id="rId39" Target="https://transparencia.cfp.org.br/wp-content/uploads/2008/08/lei_1971_57661.pdf" TargetMode="External" /><Relationship Type="http://schemas.openxmlformats.org/officeDocument/2006/relationships/hyperlink" Id="rId40" Target="https://transparencia.cfp.org.br/wp-content/uploads/2008/08/lei_1998_96491.pdf" TargetMode="External" /><Relationship Type="http://schemas.openxmlformats.org/officeDocument/2006/relationships/hyperlink" Id="rId72" Target="https://www.bls.gov/ooh/life-physical-and-social-science/psychologists.htm#tab-7" TargetMode="External" /><Relationship Type="http://schemas.openxmlformats.org/officeDocument/2006/relationships/hyperlink" Id="rId161" Target="https://www.gov.br/governodigital/pt-br/acessibilidade-e-usuario/acessibilidade-digital/eMAGv31.pdf" TargetMode="External" /><Relationship Type="http://schemas.openxmlformats.org/officeDocument/2006/relationships/hyperlink" Id="rId162" Target="https://www.nngroup.com/articles/web-writing-show-numbers-as-numerals/" TargetMode="External" /><Relationship Type="http://schemas.openxmlformats.org/officeDocument/2006/relationships/hyperlink" Id="rId37" Target="https://www.planalto.gov.br/ccivil_03/constituicao/constituicao.htm" TargetMode="External" /><Relationship Type="http://schemas.openxmlformats.org/officeDocument/2006/relationships/hyperlink" Id="rId36" Target="https://www.planalto.gov.br/ccivil_03/decreto-lei/del0200.htm" TargetMode="External" /><Relationship Type="http://schemas.openxmlformats.org/officeDocument/2006/relationships/hyperlink" Id="rId138" Target="https://www.w3.org/TR/wcag-3.0/text-and-wording" TargetMode="External" /><Relationship Type="http://schemas.openxmlformats.org/officeDocument/2006/relationships/hyperlink" Id="rId71" Target="https://www.who.int/publications/i/item/9789240036703/" TargetMode="External" /><Relationship Type="http://schemas.openxmlformats.org/officeDocument/2006/relationships/hyperlink" Id="rId92" Target="mailto:ascom@crpsp.org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bibliotecadigita1.hospedagemdesites.ws/wp-content/uploads/2022/08/Co%CC%81digo-de-e%CC%81tica-profissional-dao-psico%CC%81logo.pdf" TargetMode="External" /><Relationship Type="http://schemas.openxmlformats.org/officeDocument/2006/relationships/hyperlink" Id="rId160" Target="https://axesslab.com/fonts-dont-matter/" TargetMode="External" /><Relationship Type="http://schemas.openxmlformats.org/officeDocument/2006/relationships/hyperlink" Id="rId39" Target="https://transparencia.cfp.org.br/wp-content/uploads/2008/08/lei_1971_57661.pdf" TargetMode="External" /><Relationship Type="http://schemas.openxmlformats.org/officeDocument/2006/relationships/hyperlink" Id="rId40" Target="https://transparencia.cfp.org.br/wp-content/uploads/2008/08/lei_1998_96491.pdf" TargetMode="External" /><Relationship Type="http://schemas.openxmlformats.org/officeDocument/2006/relationships/hyperlink" Id="rId72" Target="https://www.bls.gov/ooh/life-physical-and-social-science/psychologists.htm#tab-7" TargetMode="External" /><Relationship Type="http://schemas.openxmlformats.org/officeDocument/2006/relationships/hyperlink" Id="rId161" Target="https://www.gov.br/governodigital/pt-br/acessibilidade-e-usuario/acessibilidade-digital/eMAGv31.pdf" TargetMode="External" /><Relationship Type="http://schemas.openxmlformats.org/officeDocument/2006/relationships/hyperlink" Id="rId162" Target="https://www.nngroup.com/articles/web-writing-show-numbers-as-numerals/" TargetMode="External" /><Relationship Type="http://schemas.openxmlformats.org/officeDocument/2006/relationships/hyperlink" Id="rId37" Target="https://www.planalto.gov.br/ccivil_03/constituicao/constituicao.htm" TargetMode="External" /><Relationship Type="http://schemas.openxmlformats.org/officeDocument/2006/relationships/hyperlink" Id="rId36" Target="https://www.planalto.gov.br/ccivil_03/decreto-lei/del0200.htm" TargetMode="External" /><Relationship Type="http://schemas.openxmlformats.org/officeDocument/2006/relationships/hyperlink" Id="rId138" Target="https://www.w3.org/TR/wcag-3.0/text-and-wording" TargetMode="External" /><Relationship Type="http://schemas.openxmlformats.org/officeDocument/2006/relationships/hyperlink" Id="rId71" Target="https://www.who.int/publications/i/item/9789240036703/" TargetMode="External" /><Relationship Type="http://schemas.openxmlformats.org/officeDocument/2006/relationships/hyperlink" Id="rId92" Target="mailto:ascom@crpsp.org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Serviços do CRP SP</dc:title>
  <dc:creator>Coordenação de Comunicação do CRP SP</dc:creator>
  <cp:keywords/>
  <dcterms:created xsi:type="dcterms:W3CDTF">2024-10-15T20:14:10Z</dcterms:created>
  <dcterms:modified xsi:type="dcterms:W3CDTF">2024-10-15T20:14:10Z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