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PathAI 室内蓝牙导航项目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项目进展汇报（导师审阅）</w:t>
      </w:r>
    </w:p>
    <w:p>
      <w:pPr>
        <w:spacing w:after="40"/>
        <w:jc w:val="center"/>
      </w:pPr>
      <w:r>
        <w:rPr>
          <w:rFonts w:ascii="宋体" w:hAnsi="宋体" w:eastAsia="宋体"/>
          <w:b w:val="0"/>
          <w:sz w:val="22"/>
        </w:rPr>
        <w:t>初中学部 1# 教学楼 1~2 层 · 视障人士室内导航系统</w:t>
      </w:r>
    </w:p>
    <w:p>
      <w:pPr>
        <w:pBdr>
          <w:bottom w:val="single" w:sz="6" w:space="1" w:color="999999"/>
        </w:pBd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汇报日期：2026-08-17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汇报人：（请填写）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sz w:val="20"/>
              </w:rPr>
              <w:t>审阅导师：（请填写）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30"/>
        </w:rPr>
        <w:t>一、项目背景与目标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服务对象：视障人士（核心用户），需在陌生教学楼内独立完成 1~2 层室内导航。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任务目标：将 CAD 建筑图纸转化为可导航的室内地图，部署蓝牙信标与指纹库，实现米级室内定位与语音导航。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全链路：CAD PDF → GeoJSON 矢量化 → 交互地图 → 信标部署优化 → 指纹采集方案 → 定位/融合算法 → 视障交互。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二、核心进展（截至 2026-08-17）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2.1 建筑空间数字化（CAD → GeoJSON）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完成 1# 楼 1~2 层全要素矢量化：房间 F1 81 间 / F2 55 间，门 F1 132 / F2 76，墙体 4442 段。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拓扑与可导航路网：手动骨架优先，走廊/房间开放-封闭空间分治，生成带门节点（TD）的楼层拓扑。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质量校验（validate_geojson）：无门封闭房间数 = 0，关键指标全部通过（QA PASS）。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2.2 信标部署方案优化（路线掩码 route-mask）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路线掩码方案将信标限制在测试路线附近，验证 6m 掩码即最优。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由 60 基础信标优化至 74（F1 67 + F2 7）；逐坐标比对证明 6~9m 区间信标 0 个，扩大缓冲无增量。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当前部署文件 ble_deployment.json 登记 61 个（F1 52 + F2 9，含现场微调）；满足 7 条合规规则，第 7 条「不相关空间不部署信标」达成。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2.3 定位精度分析（GDOP × 高/底比）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误差框架：σ_pos = GDOP × σ_range；距离误差 σ_range = (ln10/10N)·d·σ_RSSI（N=3.5，与距离成正比）。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精度达标标准：GDOP × σ_range ≤ 3.0 m（取 σ_range = 1.5 m；等价 ≤ 2.0 m @ σ_range = 1.0 m）。实测 695 个 ≥3 信标覆盖点，按高/底比筛选后的「子集内精度达标率」为：≥0.20 时 94.7%，≥0.25 时 95.9%，≥0.40 时 100%——阈值越高、筛留的点几何越好，故子集内达标率越高；这与「覆盖占比」（满足阈值的点数/总数，随阈值升高而减小）方向相反。全体（不限高/底比）的整体达标率 = 90.2%，等于互斥分桶 Σ(覆盖占比 × 子集达标率)。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工程判据：推荐最小高/底 = 0.20（保守 0.25）；高/底 &lt; 0.05 为禁用区（最大 GDOP 11.85，误差放大近 12 倍）。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结论：2m@σ=1.5m 精度无解，须降 σ_range ≤ 1.06m 或加密信标——已通过降噪/采集优化应对。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2.4 降噪方案设计（指纹库成本优化）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组合：多帧中值滤波（σ/√N）+ 位置域卡尔曼滤波 + 走廊中轴线投影。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预期收益：σ_pos 由约 2m 降到约 1m，可显著降低指纹库采集密度与成本。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状态：方案已设计完成，待实施（分支 feat-rssi-median / feat-kalman-filter）。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2.5 指纹采集有效区提取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从设计图红色填充区域提取指纹有效采集空间并集：1F 1984.86 m²（1 多边形）、2F 1127.91 m²（2 多边形）。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已与建筑 local_meters 坐标系配准（验证与渲染器反推原点一致），可直接与墙体/柱坐标叠加使用。</w:t>
      </w:r>
    </w:p>
    <w:p>
      <w:pPr>
        <w:spacing w:before="120" w:after="80"/>
      </w:pPr>
      <w:r>
        <w:rPr>
          <w:rFonts w:ascii="黑体" w:hAnsi="黑体" w:eastAsia="黑体"/>
          <w:b/>
          <w:sz w:val="26"/>
        </w:rPr>
        <w:t>2.6 指纹采集方案仿真验证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在有效区以 0.6m 网格仿真三种定位方法的覆盖与误差（锚点取建筑柱+墙角）：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2948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采集定位方法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有效区可用率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定位误差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歧义点</w:t>
            </w:r>
          </w:p>
        </w:tc>
        <w:tc>
          <w:tcPr>
            <w:tcW w:type="dxa" w:w="1984"/>
            <w:shd w:val="clear" w:color="auto" w:fill="D9E2F3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结论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两点法（仅柱+墙角）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27%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≤8.1cm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860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走廊张角退化，不可用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三边测量（3+锚点）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23%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最大≈48m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共线 GDOP 退化，不可用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直角坐标法（垂直打墙+沿墙量距）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97.5%/98.8%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恒定 2.83cm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✅ 推荐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分区间锚点两点法（增强）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98.7%~99.9%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≤5.4cm（均值2.1cm）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少量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sz w:val="19"/>
              </w:rPr>
              <w:t>✅ 可用</w:t>
            </w:r>
          </w:p>
        </w:tc>
      </w:tr>
    </w:tbl>
    <w:p>
      <w:pPr>
        <w:pStyle w:val="ListBullet"/>
        <w:spacing w:after="40"/>
      </w:pPr>
      <w:r>
        <w:rPr>
          <w:rFonts w:ascii="宋体" w:hAnsi="宋体" w:eastAsia="宋体"/>
          <w:sz w:val="21"/>
        </w:rPr>
        <w:t>直角坐标法经仿真验证可覆盖整片有效区且误差稳定 ≤3cm、零歧义，故测距设备采用经济组合即可，无需万元级全站仪。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三、主要问题与风险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数据质量遗留：少量标签未匹配多边形（孤儿门 F1 61 / F2 17）；卫生间多边形仅覆盖盥洗走道区。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走廊骨架为简化模型，未重建 v7 式 700 边中轴路网，复杂路径规划精度受限。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降噪方案尚未实施：当前定位精度依赖指纹库密度，落地后可大幅降本提效。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信标供电与维护：纽扣电池续航 1~2 年，需制定更换/巡检计划。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现场作业约束：激光测距需通视（LOS），转角/房间深处须本地锚点；建议自然锚点（门框角/墙角/柱边）优先、稀疏补靶标。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坐标配准误差：理论仿真基于 CAD 坐标，实测需考虑施工偏差，建议现场抽查 10~20 点验证。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四、下一步计划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实施降噪方案（中值滤波 + 卡尔曼滤波），验证 σ_pos 2m→~1m。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现场踏勘与锚点布设：基于自然锚点确定采集路线与子区间。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指纹库首轮采集（直角坐标法）+ 现场定位精度抽查。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端到端导航 demo 联调（定位 + 路线规划 + 视障语音交互）。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补数据质量遗留问题（孤儿门、卫生间多边形）。</w:t>
      </w:r>
    </w:p>
    <w:p>
      <w:pPr>
        <w:spacing w:before="200" w:after="80"/>
      </w:pPr>
      <w:r>
        <w:rPr>
          <w:rFonts w:ascii="黑体" w:hAnsi="黑体" w:eastAsia="黑体"/>
          <w:b/>
          <w:sz w:val="30"/>
        </w:rPr>
        <w:t>五、资源需求</w:t>
      </w:r>
    </w:p>
    <w:p>
      <w:pPr>
        <w:spacing w:after="40"/>
      </w:pPr>
      <w:r>
        <w:rPr>
          <w:rFonts w:ascii="宋体" w:hAnsi="宋体" w:eastAsia="宋体"/>
          <w:b w:val="0"/>
          <w:sz w:val="21"/>
        </w:rPr>
        <w:t>为支撑现场实施，需采购测距定位设备、蓝牙信标、采集终端与辅助耗材，详见附件《工具材料采购预算说明》。核心需求：激光测距设备套装约 ¥700、蓝牙信标约 ¥2,520、辅助耗材约 ¥280（采集终端若实验室已有则不另购）。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