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D4B766">
      <w:pPr>
        <w:pStyle w:val="3"/>
        <w:bidi w:val="0"/>
        <w:ind w:firstLine="2881" w:firstLineChars="900"/>
      </w:pPr>
      <w:r>
        <w:rPr>
          <w:rFonts w:ascii="Malgun Gothic" w:hAnsi="Malgun Gothic" w:eastAsia="Malgun Gothic"/>
          <w:b/>
          <w:color w:val="1F4E79"/>
          <w:sz w:val="32"/>
        </w:rPr>
        <w:t>제6장 결론 및 논의</w:t>
      </w:r>
    </w:p>
    <w:p w14:paraId="2E4C3DC3">
      <w:pPr>
        <w:spacing w:line="300" w:lineRule="auto"/>
        <w:ind w:firstLine="420"/>
      </w:pPr>
      <w:r>
        <w:rPr>
          <w:rFonts w:ascii="맑은 고딕" w:hAnsi="맑은 고딕" w:eastAsia="맑은 고딕"/>
          <w:sz w:val="21"/>
        </w:rPr>
        <w:t>본 장에서는 앞선 장에서 제시한 실험 결과를 단순히 반복하기보다, 본 연구가 제기한 핵심 문제의식으로 돌아가 그 의미를 종합적으로 논의한다. 즉, 고빈도 마이크로 결제 시스템이 보안성, 경제성, 처리량 간의 트레이드오프를 어떻게 완화할 수 있는지를 중심으로 연구 결론, 학술적 시사점, 실무적·기술적 시사점, 연구의 한계점, 그리고 향후 연구 과제를 체계적으로 정리한다.</w:t>
      </w:r>
    </w:p>
    <w:tbl>
      <w:tblPr>
        <w:tblStyle w:val="32"/>
        <w:tblW w:w="0" w:type="auto"/>
        <w:jc w:val="center"/>
        <w:tblLayout w:type="autofit"/>
        <w:tblCellMar>
          <w:top w:w="0" w:type="dxa"/>
          <w:left w:w="108" w:type="dxa"/>
          <w:bottom w:w="0" w:type="dxa"/>
          <w:right w:w="108" w:type="dxa"/>
        </w:tblCellMar>
      </w:tblPr>
      <w:tblGrid>
        <w:gridCol w:w="9066"/>
      </w:tblGrid>
      <w:tr w14:paraId="0AA58E46">
        <w:tblPrEx>
          <w:tblCellMar>
            <w:top w:w="0" w:type="dxa"/>
            <w:left w:w="108" w:type="dxa"/>
            <w:bottom w:w="0" w:type="dxa"/>
            <w:right w:w="108" w:type="dxa"/>
          </w:tblCellMar>
        </w:tblPrEx>
        <w:trPr>
          <w:jc w:val="center"/>
        </w:trPr>
        <w:tc>
          <w:tcPr>
            <w:tcW w:w="9066" w:type="dxa"/>
            <w:tcBorders>
              <w:top w:val="single" w:color="5B9BD5" w:sz="8" w:space="0"/>
              <w:left w:val="single" w:color="5B9BD5" w:sz="8" w:space="0"/>
              <w:bottom w:val="single" w:color="5B9BD5" w:sz="8" w:space="0"/>
              <w:right w:val="single" w:color="5B9BD5" w:sz="8" w:space="0"/>
            </w:tcBorders>
            <w:shd w:val="clear" w:color="auto" w:fill="EEF6FF"/>
          </w:tcPr>
          <w:p w14:paraId="60077027">
            <w:pPr>
              <w:ind w:firstLine="0"/>
            </w:pPr>
            <w:r>
              <w:rPr>
                <w:rFonts w:ascii="Malgun Gothic" w:hAnsi="Malgun Gothic" w:eastAsia="Malgun Gothic"/>
                <w:b/>
                <w:sz w:val="19"/>
              </w:rPr>
              <w:t>본 장에서 중점적으로 부각하고자 하는 성과 및 핵심 착안점</w:t>
            </w:r>
          </w:p>
          <w:p w14:paraId="6A1B5EDF">
            <w:pPr>
              <w:spacing w:line="300" w:lineRule="auto"/>
              <w:ind w:firstLine="0"/>
            </w:pPr>
            <w:r>
              <w:rPr>
                <w:rFonts w:ascii="Malgun Gothic" w:hAnsi="Malgun Gothic" w:eastAsia="Malgun Gothic"/>
                <w:b/>
                <w:sz w:val="19"/>
              </w:rPr>
              <w:t>본 연구의 핵심 착안점은 단순히 더 높은 TPS를 추구하는 데 국한되지 않는다. 핵심은 레이어 2(Layer 2)가 고빈도 거래의 실행을 전담하고, 레이어 1(Layer 1)이 하부 보안 앵커(Security Anchor)를 유지하도록 설계함으로써, 고빈도 마이크로 결제 시나리오 내에서 ‘성능-비용-신뢰 검증’ 간의 유기적 관계를 재정립하는 데 있다.</w:t>
            </w:r>
          </w:p>
          <w:p w14:paraId="621C2810">
            <w:pPr>
              <w:spacing w:line="300" w:lineRule="auto"/>
              <w:ind w:firstLine="0"/>
            </w:pPr>
            <w:r>
              <w:rPr>
                <w:rFonts w:ascii="맑은 고딕" w:hAnsi="맑은 고딕" w:eastAsia="맑은 고딕"/>
                <w:sz w:val="18"/>
              </w:rPr>
              <w:t>따라서 3,120.4 TPS, 98.2%의 가용성, 91.2%의 수수료 절감 등의 실험 결과는 단순히 고립된 성능 지표가 아니라, 제안 아키텍처가 지닌 기술적 절충(Trade-off) 가능성을 정량적으로 보여주는 성과로 해석되어야 한다.</w:t>
            </w:r>
          </w:p>
        </w:tc>
      </w:tr>
    </w:tbl>
    <w:p w14:paraId="5318C10F">
      <w:pPr>
        <w:pStyle w:val="4"/>
        <w:ind w:firstLine="0"/>
        <w:jc w:val="left"/>
      </w:pPr>
      <w:r>
        <w:rPr>
          <w:rFonts w:ascii="Malgun Gothic" w:hAnsi="Malgun Gothic" w:eastAsia="Malgun Gothic"/>
          <w:b/>
          <w:color w:val="1F4E79"/>
          <w:sz w:val="26"/>
        </w:rPr>
        <w:t>6.1 결론 (Conclusion)</w:t>
      </w:r>
    </w:p>
    <w:p w14:paraId="27652CA7">
      <w:pPr>
        <w:spacing w:line="300" w:lineRule="auto"/>
      </w:pPr>
      <w:r>
        <w:rPr>
          <w:rFonts w:ascii="Malgun Gothic" w:hAnsi="Malgun Gothic" w:eastAsia="Malgun Gothic"/>
          <w:b w:val="0"/>
          <w:sz w:val="21"/>
        </w:rPr>
        <w:t>본 연구는 고빈도 마이크로 결제 환경에서 단일 계층 블록체인이 노출하는 처리량 한계, 수수료 부담, 확정 지연 문제를 완화하기 위해 계층형 블록체인 아키텍처를 설계하고 성능을 평가하였다. 제안 구조는 레이어 2에서 고빈도 거래 실행을 담당하고, 레이어 1에서는 보안 앵커링과 최종 검증을 수행하도록 역할을 분리하였다. 이를 통해 마이크로 결제 시스템에서 요구되는 처리 성능, 비용 효율성, 검증 가능성을 함께 고려할 수 있는 구조적 대안을 제시하였다.</w:t>
      </w:r>
    </w:p>
    <w:p w14:paraId="782DCF92">
      <w:pPr>
        <w:spacing w:line="300" w:lineRule="auto"/>
      </w:pPr>
      <w:r>
        <w:rPr>
          <w:rFonts w:ascii="Malgun Gothic" w:hAnsi="Malgun Gothic" w:eastAsia="Malgun Gothic"/>
          <w:b w:val="0"/>
          <w:sz w:val="21"/>
        </w:rPr>
        <w:t>실험 결과, 제안 방식은 5,000 RPS의 고부하 조건에서 3,120.4 TPS의 처리량과 98.2%의 시스템 가용성을 보였으며, 롤업 기반 배치 처리에 의해 단건 거래 수수료를 기존 대비 91.2% 절감할 수 있음을 확인하였다. 또한 설정된 위협 모델 내에서 사기 증명 기반 검증 절차가 레이어 2 상태 위변조와 무효 배치 제출을 탐지할 수 있음을 보였다. 이러한 결과는 제안 아키텍처가 단순한 TPS 향상을 넘어, 고빈도 거래 처리와 신뢰 검증을 병행할 수 있는 운영 가능성을 지님을 시사한다.</w:t>
      </w:r>
    </w:p>
    <w:p w14:paraId="77C64FCE">
      <w:pPr>
        <w:spacing w:line="300" w:lineRule="auto"/>
      </w:pPr>
      <w:r>
        <w:rPr>
          <w:rFonts w:ascii="Malgun Gothic" w:hAnsi="Malgun Gothic" w:eastAsia="Malgun Gothic"/>
          <w:b w:val="0"/>
          <w:sz w:val="21"/>
        </w:rPr>
        <w:t>다만 본 연구의 결과는 AWS EC2 기반의 통제된 실험 환경, 제한된 부하 조건, 정적인 가스비 가정에 근거하여 도출되었다. 따라서 본 결론은 실제 상용망이나 장기 운영 환경에서의 최종 성능을 일반화하는 근거라기보다, 계층형 구조와 롤업 메커니즘이 고빈도 마이크로 결제 시스템에 적용될 수 있음을 보여주는 실증적 기준선으로 이해하는 것이 타당하다.</w:t>
      </w:r>
    </w:p>
    <w:p w14:paraId="051B06D9">
      <w:pPr>
        <w:pStyle w:val="4"/>
        <w:ind w:firstLine="0"/>
        <w:jc w:val="left"/>
      </w:pPr>
      <w:r>
        <w:rPr>
          <w:rFonts w:ascii="Malgun Gothic" w:hAnsi="Malgun Gothic" w:eastAsia="Malgun Gothic"/>
          <w:b/>
          <w:color w:val="1F4E79"/>
          <w:sz w:val="26"/>
        </w:rPr>
        <w:t>6.2 본 연구의 학술적 시사점 (Academic Significance)</w:t>
      </w:r>
    </w:p>
    <w:p w14:paraId="79BAB582">
      <w:pPr>
        <w:spacing w:line="300" w:lineRule="auto"/>
        <w:ind w:firstLine="420"/>
      </w:pPr>
      <w:r>
        <w:rPr>
          <w:rFonts w:ascii="Malgun Gothic" w:hAnsi="Malgun Gothic" w:eastAsia="Malgun Gothic"/>
          <w:b w:val="0"/>
          <w:sz w:val="21"/>
        </w:rPr>
        <w:t>본 연구가 지닌 학술적 시사점은 단순히 “연구 영역을 풍부하게 하였고 일정한 참고 기준을 제공했다”는 식의 보편적이고 추상적인 문구로 개괄되어서는 안 된다. 보다 정확하게는, 본 연구가 고빈도 마이크로 결제 환경의 성능 문제를 구조적인 ‘아키텍처적 분업 문제’로 치환했다는 점에 의의가 있다. 즉, 어떤 태스크가 레이어 1에 잔존해야 하고, 어떤 태스크가 레이어 2로 이관될 수 있는지, 그리고 이 두 계층이 롤업(Rollup) 메커니즘을 통해 어떻게 검증 가능한 연결성을 유지할 수 있는지를 명확히 규명하였다.</w:t>
      </w:r>
    </w:p>
    <w:p w14:paraId="712F7BEF">
      <w:pPr>
        <w:pStyle w:val="5"/>
        <w:ind w:firstLine="0"/>
        <w:jc w:val="left"/>
      </w:pPr>
      <w:r>
        <w:rPr>
          <w:rFonts w:ascii="Malgun Gothic" w:hAnsi="Malgun Gothic" w:eastAsia="Malgun Gothic"/>
          <w:b/>
          <w:color w:val="1F4E79"/>
          <w:sz w:val="23"/>
        </w:rPr>
        <w:t>6.2.1 ‘단일 체인 성능 향상’에서 ‘체인 내·외 역할 재조정’으로의 패러다임 전환</w:t>
      </w:r>
    </w:p>
    <w:p w14:paraId="0B44AA43">
      <w:pPr>
        <w:spacing w:line="300" w:lineRule="auto"/>
        <w:ind w:firstLine="420"/>
      </w:pPr>
      <w:r>
        <w:rPr>
          <w:rFonts w:ascii="Malgun Gothic" w:hAnsi="Malgun Gothic" w:eastAsia="Malgun Gothic"/>
          <w:b w:val="0"/>
          <w:sz w:val="21"/>
        </w:rPr>
        <w:t>본 연구는 먼저 ‘연산 및 합의 분리’ 사상이 마이크로 결제 시나리오 내에서 논의될 수 있는 학술적 지평을 확장하였다. 기존의 블록체인 확장성(Scalability) 연구는 주로 하부 합의 알고리즘의 최적화, 체인 외 단순 상태 채널(State Channel) 구축, 혹은 단일 성능 지표의 향상에 매몰되는 경향이 있었다. 반면 본 논문은 실행 계층(Layer 2)이 고빈도 처리를 전담하고 합의 계층(Layer 1)이 보안 앵커를 고수하도록 하는 두 계층 간의 ‘책임과 역할의 재배분’에 초점을 맞추었다.</w:t>
      </w:r>
    </w:p>
    <w:p w14:paraId="5E7A1597">
      <w:pPr>
        <w:spacing w:line="300" w:lineRule="auto"/>
        <w:ind w:firstLine="420"/>
      </w:pPr>
      <w:r>
        <w:rPr>
          <w:rFonts w:ascii="Malgun Gothic" w:hAnsi="Malgun Gothic" w:eastAsia="Malgun Gothic"/>
          <w:b w:val="0"/>
          <w:sz w:val="21"/>
        </w:rPr>
        <w:t>이러한 접근 방식의 가치는 확장성 문제를 단순히 “하부 체인이 느리다”는 단편적인 인식을 넘어, 하부 메인넷이 모든 고빈도 트랜잭션의 실행 압박을 독점적으로 짊어질 필요가 없음을 규명했다는 데 있다. 이로써 본 연구는 고빈도 마이크로 결제 시스템의 확장성을 연구할 수 있는, 시스템 아키텍처 레벨에 한층 밀착된 고차원적 분석 시각을 제공한다.</w:t>
      </w:r>
    </w:p>
    <w:p w14:paraId="7A278416">
      <w:pPr>
        <w:pStyle w:val="5"/>
        <w:ind w:firstLine="0"/>
        <w:jc w:val="left"/>
      </w:pPr>
      <w:r>
        <w:rPr>
          <w:rFonts w:ascii="Malgun Gothic" w:hAnsi="Malgun Gothic" w:eastAsia="Malgun Gothic"/>
          <w:b/>
          <w:color w:val="1F4E79"/>
          <w:sz w:val="23"/>
        </w:rPr>
        <w:t>6.2.2 실험적 데이터를 통한 다계층 아키텍처의 성능 절충 한계선 규명</w:t>
      </w:r>
    </w:p>
    <w:p w14:paraId="3B3AB09C">
      <w:pPr>
        <w:spacing w:line="300" w:lineRule="auto"/>
        <w:ind w:firstLine="420"/>
      </w:pPr>
      <w:r>
        <w:rPr>
          <w:rFonts w:ascii="Malgun Gothic" w:hAnsi="Malgun Gothic" w:eastAsia="Malgun Gothic"/>
          <w:b w:val="0"/>
          <w:sz w:val="21"/>
        </w:rPr>
        <w:t>본 연구는 계층형 아키텍처가 블록체인의 ‘불가능의 삼각정리(Blockchain Trilemma)’를 별도의 비용 없이 해결할 수 있다고 주장하지 않는다. 오히려 실증적 실험 결과를 통해 다계층 아키텍처의 진정한 가치가 ‘측정 가능하고 설명 가능한 기술적 절충 한계선(Trade-off Boundary)’을 확립하는 데 있음을 명확히 보여준다. 5,000 RPS 조건 하에서 시스템이 3,120.4 TPS와 98.2%의 가용성을 달성한 것은 레이어 2의 실행 능력이 하부 체인의 압박을 실질적으로 완화했음을 입증하는 동시에, 1.8%의 가용성 손실을 통해 시스템 확장에 반드시 상응하는 공학적 비용이 수반됨을 시사한다.</w:t>
      </w:r>
    </w:p>
    <w:p w14:paraId="7C769697">
      <w:pPr>
        <w:spacing w:line="300" w:lineRule="auto"/>
        <w:ind w:firstLine="420"/>
      </w:pPr>
      <w:r>
        <w:rPr>
          <w:rFonts w:ascii="맑은 고딕" w:hAnsi="맑은 고딕" w:eastAsia="맑은 고딕"/>
          <w:sz w:val="21"/>
        </w:rPr>
        <w:t>따라서 본 연구의 학술적 공헌은 단일한 최적 해법을 제시한 것에 그치지 않고, 고처리량, 저비용, 그리고 신뢰 검증 역량이 다계층 구조 내에서 어떻게 재구성될 수 있는지를 정량적 실험으로 투명하게 대조해 냈다는 점에 있다. 이러한 양적인 기준선(Quantitative Baseline)은 향후 다양한 롤업 아키텍처, 사이드체인 솔루션, 혹은 상태 채널 방안 간의 성능을 학술적으로 비교 분석하는 데 중요한 참고 지표가 된다.</w:t>
      </w:r>
    </w:p>
    <w:p w14:paraId="739CF796">
      <w:pPr>
        <w:pStyle w:val="5"/>
        <w:ind w:firstLine="0"/>
        <w:jc w:val="left"/>
      </w:pPr>
      <w:r>
        <w:rPr>
          <w:rFonts w:ascii="Malgun Gothic" w:hAnsi="Malgun Gothic" w:eastAsia="Malgun Gothic"/>
          <w:b/>
          <w:color w:val="1F4E79"/>
          <w:sz w:val="23"/>
        </w:rPr>
        <w:t>6.2.3 데이터 가용성(Data Availability)의 마이크로 결제 아키텍처 내 핵심 지위 복원</w:t>
      </w:r>
    </w:p>
    <w:p w14:paraId="4E6F9252">
      <w:pPr>
        <w:spacing w:line="300" w:lineRule="auto"/>
        <w:ind w:firstLine="420"/>
      </w:pPr>
      <w:r>
        <w:rPr>
          <w:rFonts w:ascii="맑은 고딕" w:hAnsi="맑은 고딕" w:eastAsia="맑은 고딕"/>
          <w:sz w:val="21"/>
        </w:rPr>
        <w:t>기존 고빈도 마이크로 결제 연구는 “체인 외(Off-chain) 처리 속도만 충분히 빠르면 시스템 가용성이 온전히 확보된다”는 충분히 검토되지 않는 경향이 있었다. 그러나 본 연구의 실험과 설계 사상은 체인 외 처리 효율성이 반드시 체인 상(On-chain)의 검증 기반과 동시에 고려되어야 함을 시사한다. 순수한 체인 외 처리 방식은 표면적인 비용을 낮출 수 있을지언정, 상태의 불투명성, 악의적 노드의 데이터 고립 공격(Data Withholding Attack), 그리고 분쟁 발생 시 검증의 난해함이라는 치명적인 구조적 학술 결함을 야기한다.</w:t>
      </w:r>
    </w:p>
    <w:p w14:paraId="027CB228">
      <w:pPr>
        <w:spacing w:line="300" w:lineRule="auto"/>
        <w:ind w:firstLine="420"/>
      </w:pPr>
      <w:r>
        <w:rPr>
          <w:rFonts w:ascii="Malgun Gothic" w:hAnsi="Malgun Gothic" w:eastAsia="Malgun Gothic"/>
          <w:b w:val="0"/>
          <w:sz w:val="21"/>
        </w:rPr>
        <w:t>본 연구는 상태 루트와 검증 정보를 주기적으로 메인넷에 제출하는 방식을 채택함으로써, 레이어 2의 거래 상태가 레이어 1에 검증 가능한 안전 앵커를 상시 보존하도록 설계하였다. 이 설계를 통해 데이터 가용성(Data Availability)은 단순히 보안성 장의 부차적인 요소가 아니라, 마이크로 결제 시스템이 사용자에게 신뢰를 얻고 추적성을 보장받기 위한 핵심 기틀이자 필수 조건으로 격상되었다.</w:t>
      </w:r>
    </w:p>
    <w:p w14:paraId="24325608">
      <w:pPr>
        <w:pStyle w:val="5"/>
        <w:ind w:firstLine="0"/>
        <w:jc w:val="left"/>
      </w:pPr>
      <w:r>
        <w:rPr>
          <w:rFonts w:ascii="Malgun Gothic" w:hAnsi="Malgun Gothic" w:eastAsia="Malgun Gothic"/>
          <w:b/>
          <w:color w:val="1F4E79"/>
          <w:sz w:val="23"/>
        </w:rPr>
        <w:t>6.2.4 단일 TPS 평가를 대체하는 다차원 메트릭 프레임워크 구축</w:t>
      </w:r>
    </w:p>
    <w:p w14:paraId="6F258CC8">
      <w:pPr>
        <w:spacing w:line="300" w:lineRule="auto"/>
        <w:ind w:firstLine="420"/>
      </w:pPr>
      <w:r>
        <w:rPr>
          <w:rFonts w:ascii="맑은 고딕" w:hAnsi="맑은 고딕" w:eastAsia="맑은 고딕"/>
          <w:sz w:val="21"/>
        </w:rPr>
        <w:t>본 연구는 평가 체계의 설정에서도 평가 지표를 의도적으로 다차원화하였다. 즉, TPS를 유일한 결론 지표로 삼지 않고, 시스템 가용성(Availability), 평균 지연 시간, CPU 자원 점유율, Gas 비용, 그리고 보안 무결성(Security Integrity)을 다각적으로 편입시켰다. 마이크로 결제 시스템의 특성상 단순히 처리량이 높다는 사실만으로는 해당 방안의 실무적 실효성을 온전히 대변할 수 없다. 경제적 비용이 지나치게 고비용이거나, 지연 시간이 임계치를 초과하거나, 검증 메커니즘이 취약하다면 높은 TPS 수치는 실제 산업계에 아무런 배포 가치를 제공하지 못하기 때문이다.</w:t>
      </w:r>
    </w:p>
    <w:p w14:paraId="1166190D">
      <w:pPr>
        <w:spacing w:line="300" w:lineRule="auto"/>
        <w:ind w:firstLine="420"/>
      </w:pPr>
      <w:r>
        <w:rPr>
          <w:rFonts w:ascii="맑은 고딕" w:hAnsi="맑은 고딕" w:eastAsia="맑은 고딕"/>
          <w:sz w:val="21"/>
        </w:rPr>
        <w:t>따라서 본 연구가 구축한 다차원 성능 평가 프레임워크는 고빈도 소액 결제가 직면한 현실적인 제약 조건에 한층 정밀하게 부합하며, 향후 학술계가 블록체인 기반 결제 시스템을 심사하고 평가할 때 단일 성능 지표에 매몰되지 않고 ‘기술 효율성-자원 소모량-경제적 비용-검증 역량’의 복합적 공생 관계를 종합적으로 판정하도록 이끄는 방법론적 체계를 확립하였다.</w:t>
      </w:r>
    </w:p>
    <w:p w14:paraId="45F492DE">
      <w:pPr>
        <w:pStyle w:val="4"/>
        <w:ind w:firstLine="0"/>
        <w:jc w:val="left"/>
      </w:pPr>
      <w:r>
        <w:rPr>
          <w:rFonts w:ascii="Malgun Gothic" w:hAnsi="Malgun Gothic" w:eastAsia="Malgun Gothic"/>
          <w:b/>
          <w:color w:val="1F4E79"/>
          <w:sz w:val="26"/>
        </w:rPr>
        <w:t>6.3 본 연구의 실무적 및 기술적 시사점 (Practical &amp; Technical Significance)</w:t>
      </w:r>
    </w:p>
    <w:p w14:paraId="1DF91251">
      <w:pPr>
        <w:spacing w:line="300" w:lineRule="auto"/>
        <w:ind w:firstLine="420"/>
      </w:pPr>
      <w:r>
        <w:rPr>
          <w:rFonts w:ascii="맑은 고딕" w:hAnsi="맑은 고딕" w:eastAsia="맑은 고딕"/>
          <w:sz w:val="21"/>
        </w:rPr>
        <w:t>실무적 관점에서 본 연구가 지닌 가장 직접적인 의의는 고빈도 마이크로 결제 시장이 직면한 당면 과제들에 대해 상용 배포 가능성을 검토할 수 있는 구체적인 아키텍처적 경로를 제시했다는 점이다. 모든 거래를 비용이 고비용인 하부 체인으로 밀어 넣거나 반대로 불투명한 체인 외 블랙박스 처리에 전적으로 의존하는 극단적 방식을 지양하고, 레이어 2의 실행 효율성과 레이어 1의 신뢰 검증 능력 간의 유기적 교량 역할을 구현 가능성을 제시하였다.</w:t>
      </w:r>
    </w:p>
    <w:p w14:paraId="3909A663">
      <w:pPr>
        <w:pStyle w:val="5"/>
        <w:ind w:firstLine="0"/>
        <w:jc w:val="left"/>
      </w:pPr>
      <w:r>
        <w:rPr>
          <w:rFonts w:ascii="Malgun Gothic" w:hAnsi="Malgun Gothic" w:eastAsia="Malgun Gothic"/>
          <w:b/>
          <w:color w:val="1F4E79"/>
          <w:sz w:val="23"/>
        </w:rPr>
        <w:t>6.3.1 소액 결제의 수수료 비용 문제를 실질적 상용 범위 내로 압축</w:t>
      </w:r>
    </w:p>
    <w:p w14:paraId="64B80B4D">
      <w:pPr>
        <w:spacing w:line="300" w:lineRule="auto"/>
        <w:ind w:firstLine="420"/>
      </w:pPr>
      <w:r>
        <w:rPr>
          <w:rFonts w:ascii="Malgun Gothic" w:hAnsi="Malgun Gothic" w:eastAsia="Malgun Gothic"/>
          <w:b w:val="0"/>
          <w:sz w:val="21"/>
        </w:rPr>
        <w:t>본 연구가 설정한 가스 비용 조건 하에서, 레이어 2의 배치 커밋(Batch Commit) 일괄 제출 메커니즘을 적용한 결과 단건 거래 수수료가 기존의 약 0.45달러에서 0.0397달러로 하락하였으며, 이는 전체 수수료 비용의 91.2%를 유의미하게 절감한 성과이다. 이러한 결과는 마이크로 결제 시나리오에서 특히 실무적 가치를 지닌다. 소액 소비 환경에서는 거래 금액 자체가 매우 낮기 때문에 수수료가 거래 본금을 상회하거나 이에 육박하는 ‘수수료 역전’ 현상이 발생할 경우 비즈니스 모델(BM) 자체가 제약을 받을 수 있기 때문이다.</w:t>
      </w:r>
    </w:p>
    <w:p w14:paraId="0AAE69A8">
      <w:pPr>
        <w:spacing w:line="300" w:lineRule="auto"/>
        <w:ind w:firstLine="420"/>
      </w:pPr>
      <w:r>
        <w:rPr>
          <w:rFonts w:ascii="Malgun Gothic" w:hAnsi="Malgun Gothic" w:eastAsia="Malgun Gothic"/>
          <w:b w:val="0"/>
          <w:sz w:val="21"/>
        </w:rPr>
        <w:t>따라서 본 연구의 정량적 수치는 일괄 제출과 상태 압축 기술이 단순한 엔지니어링 최적화 수단에 그치는 것이 아니라, 마이크로 결제 비즈니스의 생존 여부를 결정짓는 중요한 설계 요소임을 시사한다. 향후 디지털 콘텐츠 미디어 과금, IoT 데이터 실시간 거래 등의 분야에서 단위 거래 비용을 유의미하게 낮추기 위한 명확한 참조 모델이 될 것이다. 다만, 이 판단 역시 특정 가스비 및 토큰 시세 조건에 구속되므로 실제 프로덕션 환경 배치 전의 동적 재측정이 요구된다.</w:t>
      </w:r>
    </w:p>
    <w:p w14:paraId="1918EBE4">
      <w:pPr>
        <w:pStyle w:val="5"/>
        <w:ind w:firstLine="0"/>
        <w:jc w:val="left"/>
      </w:pPr>
      <w:r>
        <w:rPr>
          <w:rFonts w:ascii="Malgun Gothic" w:hAnsi="Malgun Gothic" w:eastAsia="Malgun Gothic"/>
          <w:b/>
          <w:color w:val="1F4E79"/>
          <w:sz w:val="23"/>
        </w:rPr>
        <w:t>6.3.2 고빈도 거래 환경을 위한 검증 가능한 산업용 보안 기초 제공</w:t>
      </w:r>
    </w:p>
    <w:p w14:paraId="5997EE83">
      <w:pPr>
        <w:spacing w:line="300" w:lineRule="auto"/>
        <w:ind w:firstLine="420"/>
      </w:pPr>
      <w:r>
        <w:rPr>
          <w:rFonts w:ascii="Malgun Gothic" w:hAnsi="Malgun Gothic" w:eastAsia="Malgun Gothic"/>
          <w:b w:val="0"/>
          <w:sz w:val="21"/>
        </w:rPr>
        <w:t>본 연구에서 설계한 사기 증명 메커니즘은 레이어 2 상태 위변조, 이중 지불(Double Spending) 서명 주입, 그리고 무효한 롤업 배치의 일괄 제출을 가정한 모의 시뮬레이션 환경 하에서 100%의 높은 차단 및 탐지율을 기록하였다. 여기서 강조해야 할 점은 추상적인 의미에서의 ‘절대적 보안’이 아니라, 사전에 명시된 위협 모델 경계 내에서 시스템이 이상 상태의 제출을 얼마나 신속하게 식별하고 제어할 수 있는가이다.</w:t>
      </w:r>
    </w:p>
    <w:p w14:paraId="1FE70817">
      <w:pPr>
        <w:spacing w:line="300" w:lineRule="auto"/>
        <w:ind w:firstLine="420"/>
      </w:pPr>
      <w:r>
        <w:rPr>
          <w:rFonts w:ascii="Malgun Gothic" w:hAnsi="Malgun Gothic" w:eastAsia="Malgun Gothic"/>
          <w:b w:val="0"/>
          <w:sz w:val="21"/>
        </w:rPr>
        <w:t>공학적 관점에서 이 메커니즘은 고빈도 마이크로 결제 시장에 중대한 기술적 전제 조건을 제공한다. 즉, 아무리 방대한 양의 거래가 체인 외 레이어 2에서 고속으로 실행되더라도, 결제 상태의 무결성이 검증 가능한 안전 궤도에서 절대 이탈하지 않도록 차단 장치를 마련한 것이다. 이 검증 기틀은 향후 웹툰 지능형 결제, IoT 센서 데이터 시장 등 차세대 고빈도 소액 결제 현장의 거래 완비성을 검증하는 기초 설계 자산으로 활용 가능성을 검토할 수 있다.</w:t>
      </w:r>
    </w:p>
    <w:p w14:paraId="47B66792">
      <w:pPr>
        <w:pStyle w:val="5"/>
        <w:ind w:firstLine="0"/>
        <w:jc w:val="left"/>
      </w:pPr>
      <w:r>
        <w:rPr>
          <w:rFonts w:ascii="Malgun Gothic" w:hAnsi="Malgun Gothic" w:eastAsia="Malgun Gothic"/>
          <w:b/>
          <w:color w:val="1F4E79"/>
          <w:sz w:val="23"/>
        </w:rPr>
        <w:t>6.3.3 엔터프라이즈급 시스템 설계를 위한 투명한 기술적 절충안 제시</w:t>
      </w:r>
    </w:p>
    <w:p w14:paraId="1476697F">
      <w:pPr>
        <w:spacing w:line="300" w:lineRule="auto"/>
        <w:ind w:firstLine="420"/>
      </w:pPr>
      <w:r>
        <w:rPr>
          <w:rFonts w:ascii="Malgun Gothic" w:hAnsi="Malgun Gothic" w:eastAsia="Malgun Gothic"/>
          <w:b w:val="0"/>
          <w:sz w:val="21"/>
        </w:rPr>
        <w:t>기업용 시스템 구축 시 개발자들은 단순히 극단적인 저비용만을 추구할 수도, 높은 처리량에만 몰두할 수도 없으며, 무엇보다 기본적인 가치인 신뢰 검증 역량을 희생할 수 없는 다중 제약 상황에 놓이게 된다. 본 연구 아키텍처의 실무적 가치는 바로 이러한 교착 상태에서 기업급 개발자들에게 상대적으로 명확한 절충 경로(Trade-off Path)를 제시했다는 데 있다.</w:t>
      </w:r>
    </w:p>
    <w:p w14:paraId="37CD549C">
      <w:pPr>
        <w:spacing w:line="300" w:lineRule="auto"/>
        <w:ind w:firstLine="420"/>
      </w:pPr>
      <w:r>
        <w:rPr>
          <w:rFonts w:ascii="Malgun Gothic" w:hAnsi="Malgun Gothic" w:eastAsia="Malgun Gothic"/>
          <w:b w:val="0"/>
          <w:sz w:val="21"/>
        </w:rPr>
        <w:t>즉, 트랜잭션의 실행은 고성능 레이어 2에 최대한 인접시키고, 보안 앵커링과 최종 분쟁 검증은 견고한 레이어 1에 잔존시키는 아키텍처적 가이드라인을 제공한다. 이러한 구조적 논리는 시스템 아키텍트가 실제 비즈니스 압박과 요구사항에 따라 롤업 배치 크기(Batch Size), 제출 주기(Epoch), 그리고 검증 전략을 유연하게 가변 조정할 수 있도록 지원하며, 단일 체인의 물리적 성능 병목 앞에서 수동적으로 타협하는 대신 처리량, 지연 시간, 비용, 신뢰성 간의 자율적 최적 조율을 가능케 한다.</w:t>
      </w:r>
    </w:p>
    <w:p w14:paraId="586B7918">
      <w:pPr>
        <w:pStyle w:val="5"/>
        <w:ind w:firstLine="0"/>
        <w:jc w:val="left"/>
      </w:pPr>
      <w:r>
        <w:rPr>
          <w:rFonts w:ascii="Malgun Gothic" w:hAnsi="Malgun Gothic" w:eastAsia="Malgun Gothic"/>
          <w:b/>
          <w:color w:val="1F4E79"/>
          <w:sz w:val="23"/>
        </w:rPr>
        <w:t>6.3.4 자율적 배포 및 동적 파라미터 튜닝 공간 개방</w:t>
      </w:r>
    </w:p>
    <w:p w14:paraId="77467D72">
      <w:pPr>
        <w:spacing w:line="300" w:lineRule="auto"/>
        <w:ind w:firstLine="420"/>
      </w:pPr>
      <w:r>
        <w:rPr>
          <w:rFonts w:ascii="Malgun Gothic" w:hAnsi="Malgun Gothic" w:eastAsia="Malgun Gothic"/>
          <w:b w:val="0"/>
          <w:sz w:val="21"/>
        </w:rPr>
        <w:t>본 프로토타입 시스템의 벤치마크 테스트 결과는 롤업 배치 크기와 제출 주기가 고정 불변의 파라미터가 아니라, 전체 시스템의 작동 상태를 미세 조정하는 유효한 실무적 제어 변수임을 실증한다. 실제 비즈니스 도메인마다 실시간성과 운영 비용에 대한 민감도가 판이하므로 인프라 배포 전략 역시 유연하게 이원화되어야 한다.</w:t>
      </w:r>
    </w:p>
    <w:p w14:paraId="38504C9D">
      <w:pPr>
        <w:spacing w:line="300" w:lineRule="auto"/>
        <w:ind w:firstLine="420"/>
      </w:pPr>
      <w:r>
        <w:rPr>
          <w:rFonts w:ascii="Malgun Gothic" w:hAnsi="Malgun Gothic" w:eastAsia="Malgun Gothic"/>
          <w:b w:val="0"/>
          <w:sz w:val="21"/>
        </w:rPr>
        <w:t>예를 들어, 실시간 미디어 스트리밍 과금이나 즉시성 콘텐츠 결제와 같이 사용자 감각 지연 시간의 극소화가 최우선인 서비스 환경에서는 제출 주기를 단축하여 확정 지연을 억제하는 배포 전략이 적합하다. 반면, 데이터 수집형 소형 IoT 센서 환경처럼 비용의 극단적 압축이 요구되는 환경에서는 배치 규모를 극대화하여 메인넷 가스 비용을 엔터프라이즈급으로 억제할 수 있다. 즉, 제안 아키텍처의 실무적 시사점은 단순한 프로토타입 시스템의 제시를 넘어, 실무 현장의 도메인 특성에 맞춘 동적 파라미터 최적화의 자율적 지침을 제공했다는 데 있다.</w:t>
      </w:r>
    </w:p>
    <w:p w14:paraId="66AEB535">
      <w:pPr>
        <w:pStyle w:val="4"/>
        <w:ind w:firstLine="0"/>
        <w:jc w:val="left"/>
      </w:pPr>
      <w:r>
        <w:rPr>
          <w:rFonts w:ascii="Malgun Gothic" w:hAnsi="Malgun Gothic" w:eastAsia="Malgun Gothic"/>
          <w:b/>
          <w:color w:val="1F4E79"/>
          <w:sz w:val="26"/>
        </w:rPr>
        <w:t>6.4 연구의 한계점 (Research Limitations)</w:t>
      </w:r>
    </w:p>
    <w:p w14:paraId="69416B5D">
      <w:pPr>
        <w:spacing w:line="300" w:lineRule="auto"/>
        <w:ind w:firstLine="420"/>
      </w:pPr>
      <w:r>
        <w:rPr>
          <w:rFonts w:ascii="맑은 고딕" w:hAnsi="맑은 고딕" w:eastAsia="맑은 고딕"/>
          <w:sz w:val="21"/>
        </w:rPr>
        <w:t>명확히 해둘 점은, 본 연구의 실험 결과가 제안 아키텍처의 유효성을 견고하게 지지하고 있음에도 불구하고, 이러한 성과가 본 시스템이 어떠한 제약 조건도 없이 무조건적으로 상용화될 수 있음을 의미하지는 않는다는 사실이다. 이하에서 서술하는 구조적 한계들은 본 연구 결론이 지닌 공학적 해석의 유효 범위를 엄격히 획정하는 동시에, 차세대 연구의 명확한 돌파구이자 절입점을 제공한다.</w:t>
      </w:r>
    </w:p>
    <w:p w14:paraId="5BD22E0D">
      <w:pPr>
        <w:pStyle w:val="5"/>
        <w:ind w:firstLine="0"/>
        <w:jc w:val="left"/>
      </w:pPr>
      <w:r>
        <w:rPr>
          <w:rFonts w:ascii="Malgun Gothic" w:hAnsi="Malgun Gothic" w:eastAsia="Malgun Gothic"/>
          <w:b/>
          <w:color w:val="1F4E79"/>
          <w:sz w:val="23"/>
        </w:rPr>
        <w:t>6.4.1 물리적 자원 및 연산 알고리즘의 한계</w:t>
      </w:r>
    </w:p>
    <w:p w14:paraId="7B9352F1">
      <w:pPr>
        <w:spacing w:line="300" w:lineRule="auto"/>
        <w:ind w:firstLine="420"/>
      </w:pPr>
      <w:r>
        <w:rPr>
          <w:rFonts w:ascii="Malgun Gothic" w:hAnsi="Malgun Gothic" w:eastAsia="Malgun Gothic"/>
          <w:b w:val="0"/>
          <w:sz w:val="21"/>
        </w:rPr>
        <w:t>5,000 RPS의 극한 고부하 조건 하에서, 레이어 2 노드가 극히 짧은 시간 내에 대규모 로컬 머클 트리(Local Merkle Tree)의 상태 루트를 동시 다발적으로 계산해야 함에 따라 CPU 연산 압박이 급격히 상승하였고, 이로 인해 시스템 평균 지연 시간이 240ms까지 증가하였다. 이는 제안 아키텍처가 하부 메인넷의 압박을 상당 부분 완화했음에도 불구하고, 실행 계층 자체의 물리적 계산 병목까지 근본적으로 소멸시키지는 못했음을 방증한다. 따라서 본 연구에서 기록된 3,120.4 TPS와 240ms의 지연 시간 데이터는 해당 아키텍처의 절대적인 최종 상한선이 아니라, 현재 설정된 단일 노드의 하드웨어 스펙 및 연산 알고리즘 하에서 발현된 프로토타입 시스템의 성능 천장(Performance Ceiling)으로 한정되어 해석되어야 한다.</w:t>
      </w:r>
    </w:p>
    <w:p w14:paraId="1290ED70">
      <w:pPr>
        <w:pStyle w:val="5"/>
        <w:ind w:firstLine="0"/>
        <w:jc w:val="left"/>
      </w:pPr>
      <w:r>
        <w:rPr>
          <w:rFonts w:ascii="Malgun Gothic" w:hAnsi="Malgun Gothic" w:eastAsia="Malgun Gothic"/>
          <w:b/>
          <w:color w:val="1F4E79"/>
          <w:sz w:val="23"/>
        </w:rPr>
        <w:t>6.4.2 시스템 설계 및 기술적 트레이드오프의 한계</w:t>
      </w:r>
    </w:p>
    <w:p w14:paraId="2BB6AD0D">
      <w:pPr>
        <w:spacing w:line="300" w:lineRule="auto"/>
        <w:ind w:firstLine="420"/>
      </w:pPr>
      <w:r>
        <w:rPr>
          <w:rFonts w:ascii="Malgun Gothic" w:hAnsi="Malgun Gothic" w:eastAsia="Malgun Gothic"/>
          <w:b w:val="0"/>
          <w:sz w:val="21"/>
        </w:rPr>
        <w:t>본 연구에 도입된 대용량 상태 압축(State Compression) 기술과 계층 간 주기적 동기화 메커니즘은 시스템 처리량을 대폭 끌어올렸으나, 극한 부하 상황에서 연산 및 전송 큐(Queue)의 누적 압박을 역으로 유발하여 시스템 가용성이 1.8% 하락(100%에서 98.2%로 감소)하는 현상을 낳았다. 이 결과는 데이터 롤업이 선사하는 고성능의 홍보 효과가 결코 무상으로 얻어지는 것이 아님을 명확히 상기시킨다. 즉, 처리량의 획득과 가용성의 유지 사이에는 엄연한 구조적 절충 관계가 실재한다. 따라서 본 논문이 도출한 고가용성 결론은 본 연구가 설정한 실험 부하 및 서비스 품질(QoS) 보장선 범위 내로 제한적으로 한정되어야 하며, 실제 극한 상황에서는 여전히 미세한 트랜잭션 드롭이나 대기 큐의 적체 리스크가 잠재되어 있음을 인정해야 한다.</w:t>
      </w:r>
    </w:p>
    <w:p w14:paraId="37785E43">
      <w:pPr>
        <w:pStyle w:val="5"/>
        <w:ind w:firstLine="0"/>
        <w:jc w:val="left"/>
      </w:pPr>
      <w:r>
        <w:rPr>
          <w:rFonts w:ascii="Malgun Gothic" w:hAnsi="Malgun Gothic" w:eastAsia="Malgun Gothic"/>
          <w:b/>
          <w:color w:val="1F4E79"/>
          <w:sz w:val="23"/>
        </w:rPr>
        <w:t>6.4.3 실험 인프라의 가상화 및 일반화의 한계</w:t>
      </w:r>
    </w:p>
    <w:p w14:paraId="105BFFF0">
      <w:pPr>
        <w:spacing w:line="300" w:lineRule="auto"/>
        <w:ind w:firstLine="420"/>
      </w:pPr>
      <w:r>
        <w:rPr>
          <w:rFonts w:ascii="Malgun Gothic" w:hAnsi="Malgun Gothic" w:eastAsia="Malgun Gothic"/>
          <w:b w:val="0"/>
          <w:sz w:val="21"/>
        </w:rPr>
        <w:t>본 연구의 벤치마크 테스트는 주로 AWS EC2 클라우드 가상화 인프라, Private Ethereum 네트워크 및 레이어 2 서비스 체인이라는 고도로 제어된 환경 속에서 수행되었다. 이 환경은 연구 변수를 격리하고 측정의 정밀성을 확보하는 데는 대단히 유리하지만, 실제 상용 생태계에 편재하는 고도의 이기종 디바이스(Heterogeneous Devices), 글로벌 다지역 노드 분산, 무작위적 네트워크 지연 및 돌발적 노드 폴트(Fault) 환경과는 엄연한 격차가 존재한다. 따라서 본 연구의 수치적 증거들은 가상화 클라우드 내 통제된 환경에서의 아키텍처 검증 데이터로 해석하는 것이 타당하며, 이를 복잡한 산업용 물리 사물인터넷 현장이나 광역 상용망 배포 환경에서의 최종 결과물로 직접 도치하거나 동일시할 수 없다.</w:t>
      </w:r>
    </w:p>
    <w:p w14:paraId="57325985">
      <w:pPr>
        <w:pStyle w:val="5"/>
        <w:ind w:firstLine="0"/>
        <w:jc w:val="left"/>
      </w:pPr>
      <w:r>
        <w:rPr>
          <w:rFonts w:ascii="Malgun Gothic" w:hAnsi="Malgun Gothic" w:eastAsia="Malgun Gothic"/>
          <w:b/>
          <w:color w:val="1F4E79"/>
          <w:sz w:val="23"/>
        </w:rPr>
        <w:t>6.4.4 시간적 범위 및 장기 연속성 검증의 한계</w:t>
      </w:r>
    </w:p>
    <w:p w14:paraId="02956E1D">
      <w:pPr>
        <w:spacing w:line="300" w:lineRule="auto"/>
        <w:ind w:firstLine="420"/>
      </w:pPr>
      <w:r>
        <w:rPr>
          <w:rFonts w:ascii="맑은 고딕" w:hAnsi="맑은 고딕" w:eastAsia="맑은 고딕"/>
          <w:sz w:val="21"/>
        </w:rPr>
        <w:t>본 연구의 성능 평가는 특정 시간 세션(Session) 동안 집중적으로 주입된 압력 실험 데이터를 기반으로 평균값을 도출한 것이다. 이는 시스템이 단기적인 피크 부하(Burst Load)를 순간적으로 흡수하는 능력은 일정 수준 확인하였지만, 실제 산업 생산 환경에서 수개월 혹은 수년 이상 무중단으로 가동될 때 필연적으로 마주하게 되는 상태 스토리지 팽창(State Bloat), 노드의 노화 및 우발적 장애, 네트워크 장기 단선, 동적 시스템 버전 업그레이드 및 장기 유지보수 비용 등의 복합적인 연속성 문제들을 온전히 커버하지는 못한다. 결론적으로, 현재의 데이터만으로는 월 단위, 년 단위 장기 운용 조건 하에서 시스템이 보일 유지보수성과 항피로 강건성(Robustness)를 충분히 보증하기에는 학술적 시계열 데이터가 부족하다는 한계이 존재한다.</w:t>
      </w:r>
    </w:p>
    <w:p w14:paraId="6CB2A143">
      <w:pPr>
        <w:pStyle w:val="5"/>
        <w:ind w:firstLine="0"/>
        <w:jc w:val="left"/>
      </w:pPr>
      <w:r>
        <w:rPr>
          <w:rFonts w:ascii="Malgun Gothic" w:hAnsi="Malgun Gothic" w:eastAsia="Malgun Gothic"/>
          <w:b/>
          <w:color w:val="1F4E79"/>
          <w:sz w:val="23"/>
        </w:rPr>
        <w:t>6.4.5 보안 위협 모델 및 경제적 가정의 한계</w:t>
      </w:r>
    </w:p>
    <w:p w14:paraId="79C75AC9">
      <w:pPr>
        <w:spacing w:line="300" w:lineRule="auto"/>
        <w:ind w:firstLine="420"/>
      </w:pPr>
      <w:r>
        <w:rPr>
          <w:rFonts w:ascii="Malgun Gothic" w:hAnsi="Malgun Gothic" w:eastAsia="Malgun Gothic"/>
          <w:b w:val="0"/>
          <w:sz w:val="21"/>
        </w:rPr>
        <w:t>본 연구의 보안 검증은 레이어 2 상태 위변조, 이중 지불 서명 주입, 무효 롤업 제출이라는 3대 전형적 시나리오 상에서 100%의 차단율을 입증했으나, 검증 노드 자체의 개인키 유출, 다수 검증인 간의 악의적 서명 담합, 지능형 데이터 가용성 공격(Data Availability Attack), 극단적 네트워크 분할(Network Partition) 등 한층 고도화된 위협 모델까지는 방어 경계에 포함하지 않았다. 아울러 91.2%의 수수료 절감 성과 역시 “1 Gas = 30 Gwei, ETH = 3,000달러”로 상정한 정적(Static) 경제학 모델 하에서의 산출물이다. 따라서 본 연구의 보안적·경제적 결론은 어디까지나 설정된 가상 모델과 가격 조건의 테두리 안에서 제한적으로 이해되어야 하며, 가스비 폭등이나 자산 시세의 격렬한 동적 시장 변동 시 실제 효익이 편차를 보일 수 있다.</w:t>
      </w:r>
    </w:p>
    <w:p w14:paraId="43A70C1E">
      <w:pPr>
        <w:pStyle w:val="4"/>
        <w:ind w:firstLine="0"/>
        <w:jc w:val="left"/>
      </w:pPr>
      <w:r>
        <w:rPr>
          <w:rFonts w:ascii="Malgun Gothic" w:hAnsi="Malgun Gothic" w:eastAsia="Malgun Gothic"/>
          <w:b/>
          <w:color w:val="1F4E79"/>
          <w:sz w:val="26"/>
        </w:rPr>
        <w:t>6.5 향후 연구 과제</w:t>
      </w:r>
    </w:p>
    <w:p w14:paraId="1CFCA48B">
      <w:pPr>
        <w:spacing w:line="300" w:lineRule="auto"/>
        <w:ind w:firstLine="420"/>
      </w:pPr>
      <w:r>
        <w:rPr>
          <w:rFonts w:ascii="맑은 고딕" w:hAnsi="맑은 고딕" w:eastAsia="맑은 고딕"/>
          <w:sz w:val="21"/>
        </w:rPr>
        <w:t>후속 연구는 단순히 “추후 검증을 고도화하겠다”는 일반적인 진술에 머무르기보다, 제6.4절에서 제시한 구조적 한계와 구체적인 문제 지점을 반영하여 전개될 필요가 있다. 본 논문의 실증 데이터를 기반으로 향후 추진해야 할 구체적 연구 방향은 다음과 같다.</w:t>
      </w:r>
    </w:p>
    <w:p w14:paraId="5EA36958">
      <w:pPr>
        <w:pStyle w:val="5"/>
        <w:ind w:firstLine="0"/>
        <w:jc w:val="left"/>
      </w:pPr>
      <w:r>
        <w:rPr>
          <w:rFonts w:ascii="Malgun Gothic" w:hAnsi="Malgun Gothic" w:eastAsia="Malgun Gothic"/>
          <w:b/>
          <w:color w:val="1F4E79"/>
          <w:sz w:val="23"/>
        </w:rPr>
        <w:t>6.5.1 레이어 2 실행 엔진의 경량화 및 병렬 연산 알고리즘 최적화</w:t>
      </w:r>
    </w:p>
    <w:p w14:paraId="4EA9ED9A">
      <w:pPr>
        <w:spacing w:line="300" w:lineRule="auto"/>
        <w:ind w:firstLine="420"/>
      </w:pPr>
      <w:r>
        <w:rPr>
          <w:rFonts w:ascii="Malgun Gothic" w:hAnsi="Malgun Gothic" w:eastAsia="Malgun Gothic"/>
          <w:b w:val="0"/>
          <w:sz w:val="21"/>
        </w:rPr>
        <w:t>대응 한계점: 제6.4.1항(로컬 계산 능력 한계) 및 제6.4.2항(기술적 절충 손실).</w:t>
      </w:r>
    </w:p>
    <w:p w14:paraId="3688A8D4">
      <w:pPr>
        <w:spacing w:line="300" w:lineRule="auto"/>
        <w:ind w:firstLine="420"/>
      </w:pPr>
      <w:r>
        <w:rPr>
          <w:rFonts w:ascii="맑은 고딕" w:hAnsi="맑은 고딕" w:eastAsia="맑은 고딕"/>
          <w:sz w:val="21"/>
        </w:rPr>
        <w:t>구체적 공학 동작: 5,000 RPS 극한 부하 조건에서 발생한 레이어 2 노드의 CPU 연산 파이프라인 과부하, 240ms의 지연 시간 축적, 그리고 1.8%의 가용성 손실을 완화하기 위해 후속 연구는 알고리즘의 추가적인 고도화에 집중한다. 구체적으로는 상태 루트 계산 부하를 분산시키는 병렬 머클 트리(Parallel Merkle Tree) 연산 기법, 초경량 데이터 상태 압축 알고리즘, 그리고 연산 적체를 제어하는 RPC 큐(Queue) 스케줄링 동적 최적화 메커니즘을 개발하여, 초고동시성 트래픽 하에서도 가용성 손실률을 추가적으로 완화하고 지연 시간을 단축하여 시스템 안정성을 향상시키고자 한다.</w:t>
      </w:r>
    </w:p>
    <w:p w14:paraId="5D4028A6">
      <w:pPr>
        <w:pStyle w:val="5"/>
        <w:ind w:firstLine="0"/>
        <w:jc w:val="left"/>
      </w:pPr>
      <w:r>
        <w:rPr>
          <w:rFonts w:ascii="Malgun Gothic" w:hAnsi="Malgun Gothic" w:eastAsia="Malgun Gothic"/>
          <w:b/>
          <w:color w:val="1F4E79"/>
          <w:sz w:val="23"/>
        </w:rPr>
        <w:t>6.5.2 통제 환경 탈피를 통한 대규모 이기종 물리 환경 기반 실증 검증</w:t>
      </w:r>
    </w:p>
    <w:p w14:paraId="381F05EA">
      <w:pPr>
        <w:spacing w:line="300" w:lineRule="auto"/>
        <w:ind w:firstLine="420"/>
      </w:pPr>
      <w:r>
        <w:rPr>
          <w:rFonts w:ascii="Malgun Gothic" w:hAnsi="Malgun Gothic" w:eastAsia="Malgun Gothic"/>
          <w:b w:val="0"/>
          <w:sz w:val="21"/>
        </w:rPr>
        <w:t>대응 한계점: 제6.4.3항(실험 인프라의 통제 국한).</w:t>
      </w:r>
    </w:p>
    <w:p w14:paraId="52505AF2">
      <w:pPr>
        <w:spacing w:line="300" w:lineRule="auto"/>
        <w:ind w:firstLine="420"/>
      </w:pPr>
      <w:r>
        <w:rPr>
          <w:rFonts w:ascii="Malgun Gothic" w:hAnsi="Malgun Gothic" w:eastAsia="Malgun Gothic"/>
          <w:b w:val="0"/>
          <w:sz w:val="21"/>
        </w:rPr>
        <w:t>구체적 공학 동작: 제6.4절에서 명시한 AWS EC2 가상화 인프라가 지닌 외적 타당성의 한계를 극복하기 위해, 차세대 연구에서는 본 프로토타입 시스템을 가상 클라우드 장벽 밖으로 전진 배치할 계획이다. 즉, 수많은 실물 이기종 디바이스(Heterogeneous Devices)가 혼재하는 대규모 물리적 산업용 사물인터넷(IIoT) 혹은 실제 스마트 시티 테스트베드 현장에 포팅한다. 이를 통해 광역 네트워크의 동적 지연 변동성, 불규칙한 트랜잭션 유입 패턴, 물리 노드의 빈번한 이탈 및 재진입 상황을 시스템에 직접 주입하여 제안 아키텍처의 토폴로지 복구 능력과 실무 환경 일반화 성능을 추가적으로 검증하고자 한다.</w:t>
      </w:r>
    </w:p>
    <w:p w14:paraId="50972AE9">
      <w:pPr>
        <w:pStyle w:val="5"/>
        <w:ind w:firstLine="0"/>
        <w:jc w:val="left"/>
      </w:pPr>
      <w:r>
        <w:rPr>
          <w:rFonts w:ascii="Malgun Gothic" w:hAnsi="Malgun Gothic" w:eastAsia="Malgun Gothic"/>
          <w:b/>
          <w:color w:val="1F4E79"/>
          <w:sz w:val="23"/>
        </w:rPr>
        <w:t>6.5.3 전생애주기 분석 모델 도입을 통한 장기 스토리지 팽창 규명</w:t>
      </w:r>
    </w:p>
    <w:p w14:paraId="4B3B9606">
      <w:pPr>
        <w:spacing w:line="300" w:lineRule="auto"/>
        <w:ind w:firstLine="420"/>
      </w:pPr>
      <w:r>
        <w:rPr>
          <w:rFonts w:ascii="맑은 고딕" w:hAnsi="맑은 고딕" w:eastAsia="맑은 고딕"/>
          <w:sz w:val="21"/>
        </w:rPr>
        <w:t>대응 한계점: 제6.4.4항(시간적 범위의 단기 한계).</w:t>
      </w:r>
    </w:p>
    <w:p w14:paraId="061FAF5E">
      <w:pPr>
        <w:spacing w:line="300" w:lineRule="auto"/>
        <w:ind w:firstLine="420"/>
      </w:pPr>
      <w:r>
        <w:rPr>
          <w:rFonts w:ascii="Malgun Gothic" w:hAnsi="Malgun Gothic" w:eastAsia="Malgun Gothic"/>
          <w:b w:val="0"/>
          <w:sz w:val="21"/>
        </w:rPr>
        <w:t>구체적 공학 동작: 단기 세션 기반 스트레스 테스트의 시계열적 제약을 보완하기 위해, 후속 연구는 가동 시간의 누적 데이터 영향을 장기 추적하는 전생애주기 분석 모델을 도입한다. 향후 연구는 롤업 데이터의 장기 지속성 저장 메커니즘, 데이터 누적에 따른 상태 스토리지 팽창(State Bloat) 현상의 정밀 추이 분석, 분산 노드의 장기 유지보수 원가 파악, 그리고 상태 데이터를 유기적으로 정제하는 지능형 데이터 재단/가지치기(Pruning) 전략을 종합적으로 다룰 것이다. 이를 통해 장기 연속 가동 조건 하에서 엔터프라이즈급 경제성과 신뢰성을 계량화할 수 있는 평가 프레임워크를 수립하고자 한다.</w:t>
      </w:r>
    </w:p>
    <w:p w14:paraId="08D4A1AA">
      <w:pPr>
        <w:pStyle w:val="5"/>
        <w:ind w:firstLine="0"/>
        <w:jc w:val="left"/>
      </w:pPr>
      <w:r>
        <w:rPr>
          <w:rFonts w:ascii="Malgun Gothic" w:hAnsi="Malgun Gothic" w:eastAsia="Malgun Gothic"/>
          <w:b/>
          <w:color w:val="1F4E79"/>
          <w:sz w:val="23"/>
        </w:rPr>
        <w:t>6.5.4 대항적 보안 위협 모델 확장 및 다차원 방어 한계선 재평가</w:t>
      </w:r>
    </w:p>
    <w:p w14:paraId="24811908">
      <w:pPr>
        <w:spacing w:line="300" w:lineRule="auto"/>
        <w:ind w:firstLine="420"/>
      </w:pPr>
      <w:r>
        <w:rPr>
          <w:rFonts w:ascii="맑은 고딕" w:hAnsi="맑은 고딕" w:eastAsia="맑은 고딕"/>
          <w:sz w:val="21"/>
        </w:rPr>
        <w:t>대응 한계점: 제6.4.5항의 보안성 경계 한계.</w:t>
      </w:r>
    </w:p>
    <w:p w14:paraId="133A8111">
      <w:pPr>
        <w:spacing w:line="300" w:lineRule="auto"/>
        <w:ind w:firstLine="420"/>
      </w:pPr>
      <w:r>
        <w:rPr>
          <w:rFonts w:ascii="맑은 고딕" w:hAnsi="맑은 고딕" w:eastAsia="맑은 고딕"/>
          <w:sz w:val="21"/>
        </w:rPr>
        <w:t>구체적 공학 동작: 기존 실험을 통해 설정된 위협 모델 내에서 100% 탐지 및 차단 결과를 보인 3대 전형적 보안 시나리오의 통제된 실험 범위를 확장하기 위해, 후속 연구는 대항적(Adversarial) 보안 검증의 학술적 범주를 단계적으로 확장한다. 노드 개인키 유출 시의 긴급 격리 시나리오, 악의적 검증 노드 간의 서명 담합 공격, 고도화된 지능형 데이터 가용성 공격(Data Availability Attack), 극단적인 네트워크 분할 상태 및 의도적 합의 지연 주입 등 실제 메인넷 급에서 발생 가능한 지능형 지속 위협(APT) 모델을 피드백 루프 테스트 시스템에 편입시킴으로써, 제안 아키텍처의 실질적인 보안 방어 한계선과 비잔틴 결함 허용(BFT) 탄성력을 보다 정밀하게 재평가하고자 한다.</w:t>
      </w:r>
    </w:p>
    <w:p w14:paraId="119BE010">
      <w:pPr>
        <w:pStyle w:val="5"/>
        <w:ind w:firstLine="0"/>
        <w:jc w:val="left"/>
      </w:pPr>
      <w:r>
        <w:rPr>
          <w:rFonts w:ascii="Malgun Gothic" w:hAnsi="Malgun Gothic" w:eastAsia="Malgun Gothic"/>
          <w:b/>
          <w:color w:val="1F4E79"/>
          <w:sz w:val="23"/>
        </w:rPr>
        <w:t>6.5.5 수직적 마이크로 결제 비즈니스 시나리오 연계 및 실전 경제성 실증</w:t>
      </w:r>
    </w:p>
    <w:p w14:paraId="0BCB5221">
      <w:pPr>
        <w:spacing w:line="300" w:lineRule="auto"/>
        <w:ind w:firstLine="420"/>
      </w:pPr>
      <w:r>
        <w:rPr>
          <w:rFonts w:ascii="맑은 고딕" w:hAnsi="맑은 고딕" w:eastAsia="맑은 고딕"/>
          <w:sz w:val="21"/>
        </w:rPr>
        <w:t>대응 한계점: 제6.4.5항의 정적 경제학 가정 한계.</w:t>
      </w:r>
    </w:p>
    <w:p w14:paraId="22265AAD">
      <w:pPr>
        <w:spacing w:line="300" w:lineRule="auto"/>
        <w:ind w:firstLine="420"/>
      </w:pPr>
      <w:r>
        <w:rPr>
          <w:rFonts w:ascii="맑은 고딕" w:hAnsi="맑은 고딕" w:eastAsia="맑은 고딕"/>
          <w:sz w:val="21"/>
        </w:rPr>
        <w:t>구체적 공학 동작: 정적인 가스 비용 및 자산 시세 가정 하에서 도출된 경제성 지표의 한계를 보완하기 위해, 본 계층형 아키텍처를 실제 산업적 수직 시장(Vertical Market)의 실전 비즈니스 애플리케이션 프레임워크에 임베디드하여 실증을 수행한다. 향후 IoT 센서 데이터 마켓플레이스, 웹툰 및 디지털 미디어 스마트 과금 플랫폼, 실시간 미디어 스트리밍 구독 서비스, 그리고 온라인 게임 초소액 트랜잭션 등 다양한 실무 도메인별 맞춤형 상위 레이어 프로토타입을 빌드하여 사용자 체감 지연 시간 최적화, 동적 환불 및 소액 취소 처리, 영지식 증명(ZKP) 기반의 프라이버시 보호 및 글로벌 규제 준수성을 조율함으로써 본 연구 성과가 가질 실제 상용 가치를 보다 정밀하게 검증하고자 한다.</w:t>
      </w:r>
    </w:p>
    <w:p w14:paraId="2AC22B08">
      <w:pPr>
        <w:pStyle w:val="4"/>
        <w:ind w:firstLine="0"/>
        <w:jc w:val="left"/>
      </w:pPr>
      <w:r>
        <w:rPr>
          <w:rFonts w:ascii="Malgun Gothic" w:hAnsi="Malgun Gothic" w:eastAsia="Malgun Gothic"/>
          <w:b/>
          <w:color w:val="1F4E79"/>
          <w:sz w:val="26"/>
        </w:rPr>
        <w:t>6.6 연구 한계점 및 향후 과제의 논리적 매핑 매트릭스</w:t>
      </w:r>
    </w:p>
    <w:p w14:paraId="49652076">
      <w:pPr>
        <w:spacing w:line="300" w:lineRule="auto"/>
        <w:ind w:firstLine="420"/>
      </w:pPr>
      <w:r>
        <w:rPr>
          <w:rFonts w:ascii="맑은 고딕" w:hAnsi="맑은 고딕" w:eastAsia="맑은 고딕"/>
          <w:sz w:val="21"/>
        </w:rPr>
        <w:t>본 연구의 한계점 발견이 어떻게 향후 연구 과제의 명확한 공학적 공략 동작으로 이어지는지, 그 학술적 정합성(Self-consistency)과 1:1의 긴밀한 대응 관계를 독자가 직관적으로 이해할 수 있도록 다음과 같이 매핑 매트릭스를 정립한다.</w:t>
      </w:r>
    </w:p>
    <w:p w14:paraId="18CEA07D">
      <w:pPr>
        <w:spacing w:line="300" w:lineRule="auto"/>
        <w:ind w:firstLine="0"/>
        <w:jc w:val="center"/>
      </w:pPr>
      <w:r>
        <w:rPr>
          <w:rFonts w:ascii="Malgun Gothic" w:hAnsi="Malgun Gothic" w:eastAsia="Malgun Gothic"/>
          <w:b w:val="0"/>
          <w:sz w:val="21"/>
        </w:rPr>
        <w:t>표 6-1 연구 한계점 및 향후 과제의 논리적 매핑 매트릭스</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3"/>
        <w:gridCol w:w="1813"/>
        <w:gridCol w:w="1813"/>
        <w:gridCol w:w="1813"/>
        <w:gridCol w:w="1813"/>
      </w:tblGrid>
      <w:tr w14:paraId="4B0C2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3" w:type="dxa"/>
            <w:shd w:val="clear" w:color="auto" w:fill="D9EAF7"/>
            <w:vAlign w:val="center"/>
          </w:tcPr>
          <w:p w14:paraId="7CD24DD0">
            <w:pPr>
              <w:spacing w:line="276" w:lineRule="auto"/>
              <w:ind w:firstLine="0"/>
            </w:pPr>
            <w:r>
              <w:rPr>
                <w:rFonts w:ascii="Malgun Gothic" w:hAnsi="Malgun Gothic" w:eastAsia="Malgun Gothic"/>
                <w:b/>
                <w:sz w:val="19"/>
              </w:rPr>
              <w:t>순번</w:t>
            </w:r>
          </w:p>
        </w:tc>
        <w:tc>
          <w:tcPr>
            <w:tcW w:w="1813" w:type="dxa"/>
            <w:shd w:val="clear" w:color="auto" w:fill="D9EAF7"/>
            <w:vAlign w:val="center"/>
          </w:tcPr>
          <w:p w14:paraId="6C261C02">
            <w:pPr>
              <w:spacing w:line="276" w:lineRule="auto"/>
              <w:ind w:firstLine="0"/>
            </w:pPr>
            <w:r>
              <w:rPr>
                <w:rFonts w:ascii="Malgun Gothic" w:hAnsi="Malgun Gothic" w:eastAsia="Malgun Gothic"/>
                <w:b/>
                <w:sz w:val="19"/>
              </w:rPr>
              <w:t>본문 한계점</w:t>
            </w:r>
          </w:p>
        </w:tc>
        <w:tc>
          <w:tcPr>
            <w:tcW w:w="1813" w:type="dxa"/>
            <w:shd w:val="clear" w:color="auto" w:fill="D9EAF7"/>
            <w:vAlign w:val="center"/>
          </w:tcPr>
          <w:p w14:paraId="2915658E">
            <w:pPr>
              <w:spacing w:line="276" w:lineRule="auto"/>
              <w:ind w:firstLine="0"/>
            </w:pPr>
            <w:r>
              <w:rPr>
                <w:rFonts w:ascii="Malgun Gothic" w:hAnsi="Malgun Gothic" w:eastAsia="Malgun Gothic"/>
                <w:b/>
                <w:sz w:val="19"/>
              </w:rPr>
              <w:t>결론 해석 경계</w:t>
            </w:r>
          </w:p>
        </w:tc>
        <w:tc>
          <w:tcPr>
            <w:tcW w:w="1813" w:type="dxa"/>
            <w:shd w:val="clear" w:color="auto" w:fill="D9EAF7"/>
            <w:vAlign w:val="center"/>
          </w:tcPr>
          <w:p w14:paraId="3EAD7178">
            <w:pPr>
              <w:spacing w:line="276" w:lineRule="auto"/>
              <w:ind w:firstLine="0"/>
            </w:pPr>
            <w:r>
              <w:rPr>
                <w:rFonts w:ascii="Malgun Gothic" w:hAnsi="Malgun Gothic" w:eastAsia="Malgun Gothic"/>
                <w:b/>
                <w:sz w:val="19"/>
              </w:rPr>
              <w:t>향후 연구 방향</w:t>
            </w:r>
          </w:p>
        </w:tc>
        <w:tc>
          <w:tcPr>
            <w:tcW w:w="1813" w:type="dxa"/>
            <w:shd w:val="clear" w:color="auto" w:fill="D9EAF7"/>
            <w:vAlign w:val="center"/>
          </w:tcPr>
          <w:p w14:paraId="6C4E23AF">
            <w:pPr>
              <w:spacing w:line="276" w:lineRule="auto"/>
              <w:ind w:firstLine="0"/>
            </w:pPr>
            <w:r>
              <w:rPr>
                <w:rFonts w:ascii="Malgun Gothic" w:hAnsi="Malgun Gothic" w:eastAsia="Malgun Gothic"/>
                <w:b/>
                <w:sz w:val="19"/>
              </w:rPr>
              <w:t>해결하고자 하는 문제</w:t>
            </w:r>
          </w:p>
        </w:tc>
      </w:tr>
      <w:tr w14:paraId="4D56B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3" w:type="dxa"/>
            <w:vAlign w:val="center"/>
          </w:tcPr>
          <w:p w14:paraId="42D6C951">
            <w:pPr>
              <w:spacing w:line="276" w:lineRule="auto"/>
              <w:ind w:firstLine="0"/>
            </w:pPr>
            <w:r>
              <w:rPr>
                <w:rFonts w:ascii="Malgun Gothic" w:hAnsi="Malgun Gothic" w:eastAsia="Malgun Gothic"/>
                <w:b w:val="0"/>
                <w:sz w:val="19"/>
              </w:rPr>
              <w:t>01</w:t>
            </w:r>
          </w:p>
        </w:tc>
        <w:tc>
          <w:tcPr>
            <w:tcW w:w="1813" w:type="dxa"/>
            <w:vAlign w:val="center"/>
          </w:tcPr>
          <w:p w14:paraId="4ABAD3A6">
            <w:pPr>
              <w:spacing w:line="276" w:lineRule="auto"/>
              <w:ind w:firstLine="0"/>
            </w:pPr>
            <w:r>
              <w:rPr>
                <w:rFonts w:ascii="Malgun Gothic" w:hAnsi="Malgun Gothic" w:eastAsia="Malgun Gothic"/>
                <w:b w:val="0"/>
                <w:sz w:val="19"/>
              </w:rPr>
              <w:t>Layer 2 로컬 계산 압박</w:t>
            </w:r>
          </w:p>
        </w:tc>
        <w:tc>
          <w:tcPr>
            <w:tcW w:w="1813" w:type="dxa"/>
            <w:vAlign w:val="center"/>
          </w:tcPr>
          <w:p w14:paraId="562E2134">
            <w:pPr>
              <w:spacing w:line="276" w:lineRule="auto"/>
              <w:ind w:firstLine="0"/>
            </w:pPr>
            <w:r>
              <w:rPr>
                <w:rFonts w:ascii="Malgun Gothic" w:hAnsi="Malgun Gothic" w:eastAsia="Malgun Gothic"/>
                <w:b w:val="0"/>
                <w:sz w:val="19"/>
              </w:rPr>
              <w:t>처리량과 지연 시간은 현재 하드웨어 및 알고리즘 조건에 종속됨</w:t>
            </w:r>
          </w:p>
        </w:tc>
        <w:tc>
          <w:tcPr>
            <w:tcW w:w="1813" w:type="dxa"/>
            <w:vAlign w:val="center"/>
          </w:tcPr>
          <w:p w14:paraId="2BB058E5">
            <w:pPr>
              <w:spacing w:line="276" w:lineRule="auto"/>
              <w:ind w:firstLine="0"/>
            </w:pPr>
            <w:r>
              <w:rPr>
                <w:rFonts w:ascii="Malgun Gothic" w:hAnsi="Malgun Gothic" w:eastAsia="Malgun Gothic"/>
                <w:b w:val="0"/>
                <w:sz w:val="19"/>
              </w:rPr>
              <w:t>경량화 및 병렬 계산 최적화</w:t>
            </w:r>
          </w:p>
        </w:tc>
        <w:tc>
          <w:tcPr>
            <w:tcW w:w="1813" w:type="dxa"/>
            <w:vAlign w:val="center"/>
          </w:tcPr>
          <w:p w14:paraId="6B36C4BC">
            <w:pPr>
              <w:spacing w:line="276" w:lineRule="auto"/>
              <w:ind w:firstLine="0"/>
            </w:pPr>
            <w:r>
              <w:rPr>
                <w:rFonts w:ascii="Malgun Gothic" w:hAnsi="Malgun Gothic" w:eastAsia="Malgun Gothic"/>
                <w:b w:val="0"/>
                <w:sz w:val="19"/>
              </w:rPr>
              <w:t>상태 루트 계산 압박을 완화하고 극한 부하 시의 지연 시간을 압축</w:t>
            </w:r>
          </w:p>
        </w:tc>
      </w:tr>
      <w:tr w14:paraId="759D3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3" w:type="dxa"/>
            <w:vAlign w:val="center"/>
          </w:tcPr>
          <w:p w14:paraId="51CB1354">
            <w:pPr>
              <w:spacing w:line="276" w:lineRule="auto"/>
              <w:ind w:firstLine="0"/>
            </w:pPr>
            <w:r>
              <w:rPr>
                <w:rFonts w:ascii="Malgun Gothic" w:hAnsi="Malgun Gothic" w:eastAsia="Malgun Gothic"/>
                <w:b w:val="0"/>
                <w:sz w:val="19"/>
              </w:rPr>
              <w:t>02</w:t>
            </w:r>
          </w:p>
        </w:tc>
        <w:tc>
          <w:tcPr>
            <w:tcW w:w="1813" w:type="dxa"/>
            <w:vAlign w:val="center"/>
          </w:tcPr>
          <w:p w14:paraId="6FBA4477">
            <w:pPr>
              <w:spacing w:line="276" w:lineRule="auto"/>
              <w:ind w:firstLine="0"/>
            </w:pPr>
            <w:r>
              <w:rPr>
                <w:rFonts w:ascii="Malgun Gothic" w:hAnsi="Malgun Gothic" w:eastAsia="Malgun Gothic"/>
                <w:b w:val="0"/>
                <w:sz w:val="19"/>
              </w:rPr>
              <w:t>고처리량과 안정성 간의 트레이드오프</w:t>
            </w:r>
          </w:p>
        </w:tc>
        <w:tc>
          <w:tcPr>
            <w:tcW w:w="1813" w:type="dxa"/>
            <w:vAlign w:val="center"/>
          </w:tcPr>
          <w:p w14:paraId="7B0F41A3">
            <w:pPr>
              <w:spacing w:line="276" w:lineRule="auto"/>
              <w:ind w:firstLine="0"/>
            </w:pPr>
            <w:r>
              <w:rPr>
                <w:rFonts w:ascii="Malgun Gothic" w:hAnsi="Malgun Gothic" w:eastAsia="Malgun Gothic"/>
                <w:b w:val="0"/>
                <w:sz w:val="19"/>
              </w:rPr>
              <w:t>98.2% 가용성은 여전히 1.8%의 시스템 손실률을 내포함</w:t>
            </w:r>
          </w:p>
        </w:tc>
        <w:tc>
          <w:tcPr>
            <w:tcW w:w="1813" w:type="dxa"/>
            <w:vAlign w:val="center"/>
          </w:tcPr>
          <w:p w14:paraId="771FCDF9">
            <w:pPr>
              <w:spacing w:line="276" w:lineRule="auto"/>
              <w:ind w:firstLine="0"/>
            </w:pPr>
            <w:r>
              <w:rPr>
                <w:rFonts w:ascii="Malgun Gothic" w:hAnsi="Malgun Gothic" w:eastAsia="Malgun Gothic"/>
                <w:b w:val="0"/>
                <w:sz w:val="19"/>
              </w:rPr>
              <w:t>동적 파라미터 튜닝</w:t>
            </w:r>
          </w:p>
        </w:tc>
        <w:tc>
          <w:tcPr>
            <w:tcW w:w="1813" w:type="dxa"/>
            <w:vAlign w:val="center"/>
          </w:tcPr>
          <w:p w14:paraId="778C6F25">
            <w:pPr>
              <w:spacing w:line="276" w:lineRule="auto"/>
              <w:ind w:firstLine="0"/>
            </w:pPr>
            <w:r>
              <w:rPr>
                <w:rFonts w:ascii="Malgun Gothic" w:hAnsi="Malgun Gothic" w:eastAsia="Malgun Gothic"/>
                <w:b w:val="0"/>
                <w:sz w:val="19"/>
              </w:rPr>
              <w:t>롤업 배치 크기, 제출 주기 및 큐 스케줄링 알고리즘 최적화</w:t>
            </w:r>
          </w:p>
        </w:tc>
      </w:tr>
      <w:tr w14:paraId="3D371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3" w:type="dxa"/>
            <w:vAlign w:val="center"/>
          </w:tcPr>
          <w:p w14:paraId="73FE8FBF">
            <w:pPr>
              <w:spacing w:line="276" w:lineRule="auto"/>
              <w:ind w:firstLine="0"/>
            </w:pPr>
            <w:r>
              <w:rPr>
                <w:rFonts w:ascii="Malgun Gothic" w:hAnsi="Malgun Gothic" w:eastAsia="Malgun Gothic"/>
                <w:b w:val="0"/>
                <w:sz w:val="19"/>
              </w:rPr>
              <w:t>03</w:t>
            </w:r>
          </w:p>
        </w:tc>
        <w:tc>
          <w:tcPr>
            <w:tcW w:w="1813" w:type="dxa"/>
            <w:vAlign w:val="center"/>
          </w:tcPr>
          <w:p w14:paraId="2FB2043B">
            <w:pPr>
              <w:spacing w:line="276" w:lineRule="auto"/>
              <w:ind w:firstLine="0"/>
            </w:pPr>
            <w:r>
              <w:rPr>
                <w:rFonts w:ascii="Malgun Gothic" w:hAnsi="Malgun Gothic" w:eastAsia="Malgun Gothic"/>
                <w:b w:val="0"/>
                <w:sz w:val="19"/>
              </w:rPr>
              <w:t>통제된 실험 환경 조건</w:t>
            </w:r>
          </w:p>
        </w:tc>
        <w:tc>
          <w:tcPr>
            <w:tcW w:w="1813" w:type="dxa"/>
            <w:vAlign w:val="center"/>
          </w:tcPr>
          <w:p w14:paraId="4D6178E5">
            <w:pPr>
              <w:spacing w:line="276" w:lineRule="auto"/>
              <w:ind w:firstLine="0"/>
            </w:pPr>
            <w:r>
              <w:rPr>
                <w:rFonts w:ascii="Malgun Gothic" w:hAnsi="Malgun Gothic" w:eastAsia="Malgun Gothic"/>
                <w:b w:val="0"/>
                <w:sz w:val="19"/>
              </w:rPr>
              <w:t>도출된 결과를 복잡한 실제 상용 환경으로 직접 유추할 수 없음</w:t>
            </w:r>
          </w:p>
        </w:tc>
        <w:tc>
          <w:tcPr>
            <w:tcW w:w="1813" w:type="dxa"/>
            <w:vAlign w:val="center"/>
          </w:tcPr>
          <w:p w14:paraId="4266AD61">
            <w:pPr>
              <w:spacing w:line="276" w:lineRule="auto"/>
              <w:ind w:firstLine="0"/>
            </w:pPr>
            <w:r>
              <w:rPr>
                <w:rFonts w:ascii="Malgun Gothic" w:hAnsi="Malgun Gothic" w:eastAsia="Malgun Gothic"/>
                <w:b w:val="0"/>
                <w:sz w:val="19"/>
              </w:rPr>
              <w:t>실제 이기종 환경 기반 실증</w:t>
            </w:r>
          </w:p>
        </w:tc>
        <w:tc>
          <w:tcPr>
            <w:tcW w:w="1813" w:type="dxa"/>
            <w:vAlign w:val="center"/>
          </w:tcPr>
          <w:p w14:paraId="7771269F">
            <w:pPr>
              <w:spacing w:line="276" w:lineRule="auto"/>
              <w:ind w:firstLine="0"/>
            </w:pPr>
            <w:r>
              <w:rPr>
                <w:rFonts w:ascii="Malgun Gothic" w:hAnsi="Malgun Gothic" w:eastAsia="Malgun Gothic"/>
                <w:b w:val="0"/>
                <w:sz w:val="19"/>
              </w:rPr>
              <w:t>광역 다지역 노드, 네트워크 jitter 및 이기종 디바이스의 영향 실증</w:t>
            </w:r>
          </w:p>
        </w:tc>
      </w:tr>
      <w:tr w14:paraId="60BB5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3" w:type="dxa"/>
            <w:vAlign w:val="center"/>
          </w:tcPr>
          <w:p w14:paraId="332E739D">
            <w:pPr>
              <w:spacing w:line="276" w:lineRule="auto"/>
              <w:ind w:firstLine="0"/>
            </w:pPr>
            <w:r>
              <w:rPr>
                <w:rFonts w:ascii="Malgun Gothic" w:hAnsi="Malgun Gothic" w:eastAsia="Malgun Gothic"/>
                <w:b w:val="0"/>
                <w:sz w:val="19"/>
              </w:rPr>
              <w:t>04</w:t>
            </w:r>
          </w:p>
        </w:tc>
        <w:tc>
          <w:tcPr>
            <w:tcW w:w="1813" w:type="dxa"/>
            <w:vAlign w:val="center"/>
          </w:tcPr>
          <w:p w14:paraId="3AB6868C">
            <w:pPr>
              <w:spacing w:line="276" w:lineRule="auto"/>
              <w:ind w:firstLine="0"/>
            </w:pPr>
            <w:r>
              <w:rPr>
                <w:rFonts w:ascii="Malgun Gothic" w:hAnsi="Malgun Gothic" w:eastAsia="Malgun Gothic"/>
                <w:b w:val="0"/>
                <w:sz w:val="19"/>
              </w:rPr>
              <w:t>장기 운용 데이터 부족</w:t>
            </w:r>
          </w:p>
        </w:tc>
        <w:tc>
          <w:tcPr>
            <w:tcW w:w="1813" w:type="dxa"/>
            <w:vAlign w:val="center"/>
          </w:tcPr>
          <w:p w14:paraId="4E42AEFB">
            <w:pPr>
              <w:spacing w:line="276" w:lineRule="auto"/>
              <w:ind w:firstLine="0"/>
            </w:pPr>
            <w:r>
              <w:rPr>
                <w:rFonts w:ascii="Malgun Gothic" w:hAnsi="Malgun Gothic" w:eastAsia="Malgun Gothic"/>
                <w:b w:val="0"/>
                <w:sz w:val="19"/>
              </w:rPr>
              <w:t>단기 스트레스 테스트 데이터로는 장기 유지보수성을 대변할 수 없음</w:t>
            </w:r>
          </w:p>
        </w:tc>
        <w:tc>
          <w:tcPr>
            <w:tcW w:w="1813" w:type="dxa"/>
            <w:vAlign w:val="center"/>
          </w:tcPr>
          <w:p w14:paraId="2A01BEF0">
            <w:pPr>
              <w:spacing w:line="276" w:lineRule="auto"/>
              <w:ind w:firstLine="0"/>
            </w:pPr>
            <w:r>
              <w:rPr>
                <w:rFonts w:ascii="Malgun Gothic" w:hAnsi="Malgun Gothic" w:eastAsia="Malgun Gothic"/>
                <w:b w:val="0"/>
                <w:sz w:val="19"/>
              </w:rPr>
              <w:t>전생애주기 운용 평가</w:t>
            </w:r>
          </w:p>
        </w:tc>
        <w:tc>
          <w:tcPr>
            <w:tcW w:w="1813" w:type="dxa"/>
            <w:vAlign w:val="center"/>
          </w:tcPr>
          <w:p w14:paraId="0BB7EAF7">
            <w:pPr>
              <w:spacing w:line="276" w:lineRule="auto"/>
              <w:ind w:firstLine="0"/>
            </w:pPr>
            <w:r>
              <w:rPr>
                <w:rFonts w:ascii="Malgun Gothic" w:hAnsi="Malgun Gothic" w:eastAsia="Malgun Gothic"/>
                <w:b w:val="0"/>
                <w:sz w:val="19"/>
              </w:rPr>
              <w:t>상태 스토리지 팽창(State Bloat) 추이 분석 및 데이터 가지치기(Pruning) 검증</w:t>
            </w:r>
          </w:p>
        </w:tc>
      </w:tr>
      <w:tr w14:paraId="4901D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3" w:type="dxa"/>
            <w:vAlign w:val="center"/>
          </w:tcPr>
          <w:p w14:paraId="559FE43D">
            <w:pPr>
              <w:spacing w:line="276" w:lineRule="auto"/>
              <w:ind w:firstLine="0"/>
            </w:pPr>
            <w:r>
              <w:rPr>
                <w:rFonts w:ascii="Malgun Gothic" w:hAnsi="Malgun Gothic" w:eastAsia="Malgun Gothic"/>
                <w:b w:val="0"/>
                <w:sz w:val="19"/>
              </w:rPr>
              <w:t>05</w:t>
            </w:r>
          </w:p>
        </w:tc>
        <w:tc>
          <w:tcPr>
            <w:tcW w:w="1813" w:type="dxa"/>
            <w:vAlign w:val="center"/>
          </w:tcPr>
          <w:p w14:paraId="58FB12DD">
            <w:pPr>
              <w:spacing w:line="276" w:lineRule="auto"/>
              <w:ind w:firstLine="0"/>
            </w:pPr>
            <w:r>
              <w:rPr>
                <w:rFonts w:ascii="Malgun Gothic" w:hAnsi="Malgun Gothic" w:eastAsia="Malgun Gothic"/>
                <w:b w:val="0"/>
                <w:sz w:val="19"/>
              </w:rPr>
              <w:t>보안 및 경제성 가정의 정적 국한</w:t>
            </w:r>
          </w:p>
        </w:tc>
        <w:tc>
          <w:tcPr>
            <w:tcW w:w="1813" w:type="dxa"/>
            <w:vAlign w:val="center"/>
          </w:tcPr>
          <w:p w14:paraId="7B04D8DC">
            <w:pPr>
              <w:spacing w:line="276" w:lineRule="auto"/>
              <w:ind w:firstLine="0"/>
            </w:pPr>
            <w:r>
              <w:rPr>
                <w:rFonts w:ascii="Malgun Gothic" w:hAnsi="Malgun Gothic" w:eastAsia="Malgun Gothic"/>
                <w:b w:val="0"/>
                <w:sz w:val="19"/>
              </w:rPr>
              <w:t>보안성과 경제적 효익 수치가 기정된 가상 모델 환경에 한정됨</w:t>
            </w:r>
          </w:p>
        </w:tc>
        <w:tc>
          <w:tcPr>
            <w:tcW w:w="1813" w:type="dxa"/>
            <w:vAlign w:val="center"/>
          </w:tcPr>
          <w:p w14:paraId="2B91F8F4">
            <w:pPr>
              <w:spacing w:line="276" w:lineRule="auto"/>
              <w:ind w:firstLine="0"/>
            </w:pPr>
            <w:r>
              <w:rPr>
                <w:rFonts w:ascii="Malgun Gothic" w:hAnsi="Malgun Gothic" w:eastAsia="Malgun Gothic"/>
                <w:b w:val="0"/>
                <w:sz w:val="19"/>
              </w:rPr>
              <w:t>위협 모델 확장 및 비즈니스 실증</w:t>
            </w:r>
          </w:p>
        </w:tc>
        <w:tc>
          <w:tcPr>
            <w:tcW w:w="1813" w:type="dxa"/>
            <w:vAlign w:val="center"/>
          </w:tcPr>
          <w:p w14:paraId="4BE0A71B">
            <w:pPr>
              <w:spacing w:line="276" w:lineRule="auto"/>
              <w:ind w:firstLine="0"/>
            </w:pPr>
            <w:r>
              <w:rPr>
                <w:rFonts w:ascii="Malgun Gothic" w:hAnsi="Malgun Gothic" w:eastAsia="Malgun Gothic"/>
                <w:b w:val="0"/>
                <w:sz w:val="19"/>
              </w:rPr>
              <w:t>고도화된 복합 공격 시나리오 편입, 프라이버시 보호 및 동적 가스 원가 분석</w:t>
            </w:r>
          </w:p>
        </w:tc>
      </w:tr>
    </w:tbl>
    <w:p w14:paraId="674D7110">
      <w:pPr>
        <w:pStyle w:val="4"/>
        <w:ind w:firstLine="0"/>
        <w:jc w:val="left"/>
        <w:rPr>
          <w:rFonts w:hint="eastAsia" w:ascii="Malgun Gothic" w:hAnsi="Malgun Gothic" w:eastAsia="Malgun Gothic"/>
          <w:sz w:val="21"/>
        </w:rPr>
      </w:pPr>
      <w:r>
        <w:rPr>
          <w:rFonts w:hint="eastAsia" w:ascii="Malgun Gothic" w:hAnsi="Malgun Gothic" w:eastAsia="Malgun Gothic"/>
          <w:b/>
          <w:color w:val="1F4E79"/>
          <w:sz w:val="26"/>
        </w:rPr>
        <w:t>6.7 본 장 소결 (Summary)</w:t>
      </w:r>
    </w:p>
    <w:p w14:paraId="210F8C53">
      <w:pPr>
        <w:spacing w:line="300" w:lineRule="auto"/>
      </w:pPr>
      <w:r>
        <w:rPr>
          <w:rFonts w:ascii="Malgun Gothic" w:hAnsi="Malgun Gothic" w:eastAsia="Malgun Gothic"/>
          <w:b w:val="0"/>
          <w:sz w:val="21"/>
        </w:rPr>
        <w:t>종합적으로 고찰할 때, 본 논문의 핵심 학술적 공헌은 고빈도 마이크로 결제 시스템의 확장성 문제를 단편적인 성능 지표 경쟁에서 탈피시켜, 거시적인 시스템 아키텍처 레이어의 논의로 확장하였다는 점에 있다. 레이어 2가 고빈도 트랜잭션의 실행 압박을 담당하고, 레이어 1이 보안 앵커 역할을 유지하며, 데이터 롤업(Rollup) 기술을 통해 결제 상태의 검증 가능성을 보존함으로써 본 연구는 저비용, 고처리량, 신뢰 검증 역량을 함께 고려할 수 있는 구조적 가능성을 제시하였다.</w:t>
      </w:r>
    </w:p>
    <w:p w14:paraId="76D2D919">
      <w:pPr>
        <w:spacing w:line="300" w:lineRule="auto"/>
      </w:pPr>
      <w:r>
        <w:rPr>
          <w:rFonts w:ascii="Malgun Gothic" w:hAnsi="Malgun Gothic" w:eastAsia="Malgun Gothic"/>
          <w:b w:val="0"/>
          <w:sz w:val="21"/>
        </w:rPr>
        <w:t>비록 제안 아키텍처가 통제된 실험 환경에서 상대적으로 높은 처리 성능과 비용 효율성을 보였으나, 장기 가동 시의 구조적 안정성, 실제 상용 환경에서의 일반화 가능성, 그리고 고도화된 위협 모델 환경에서의 견고성은 향후 연구를 통해 추가적으로 검증되어야 한다. 따라서 본 장의 결론은 제안 방식의 적용 가능성을 확인하는 동시에, 후속 연구가 해결해야 할 공학적 과제를 함께 제시한다는 점에서 의의를 가진다.</w:t>
      </w:r>
    </w:p>
    <w:sectPr>
      <w:pgSz w:w="12240" w:h="15840"/>
      <w:pgMar w:top="1417" w:right="1587" w:bottom="1417" w:left="158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algun Gothic">
    <w:panose1 w:val="020B0503020000020004"/>
    <w:charset w:val="81"/>
    <w:family w:val="auto"/>
    <w:pitch w:val="default"/>
    <w:sig w:usb0="9000002F" w:usb1="29D77CFB" w:usb2="00000012" w:usb3="00000000" w:csb0="00080001"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1500558"/>
    <w:rsid w:val="4BCE692A"/>
    <w:rsid w:val="4F1F2C2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0" w:line="360" w:lineRule="auto"/>
      <w:ind w:firstLine="420"/>
    </w:pPr>
    <w:rPr>
      <w:rFonts w:ascii="Malgun Gothic" w:hAnsi="Malgun Gothic" w:eastAsia="Malgun Gothic" w:cstheme="minorBidi"/>
      <w:sz w:val="21"/>
      <w:szCs w:val="22"/>
      <w:lang w:val="en-US" w:eastAsia="en-US" w:bidi="ar-SA"/>
    </w:rPr>
  </w:style>
  <w:style w:type="paragraph" w:styleId="3">
    <w:name w:val="heading 1"/>
    <w:basedOn w:val="1"/>
    <w:next w:val="1"/>
    <w:link w:val="138"/>
    <w:qFormat/>
    <w:uiPriority w:val="9"/>
    <w:pPr>
      <w:keepNext/>
      <w:keepLines/>
      <w:spacing w:before="200" w:after="120"/>
      <w:ind w:firstLine="0"/>
      <w:outlineLvl w:val="0"/>
    </w:pPr>
    <w:rPr>
      <w:rFonts w:asciiTheme="majorHAnsi" w:hAnsiTheme="majorHAnsi" w:eastAsiaTheme="majorEastAsia" w:cstheme="majorBidi"/>
      <w:b/>
      <w:bCs/>
      <w:color w:val="376092" w:themeColor="accent1" w:themeShade="BF"/>
      <w:sz w:val="32"/>
      <w:szCs w:val="28"/>
    </w:rPr>
  </w:style>
  <w:style w:type="paragraph" w:styleId="4">
    <w:name w:val="heading 2"/>
    <w:basedOn w:val="1"/>
    <w:next w:val="1"/>
    <w:link w:val="139"/>
    <w:unhideWhenUsed/>
    <w:qFormat/>
    <w:uiPriority w:val="9"/>
    <w:pPr>
      <w:keepNext/>
      <w:keepLines/>
      <w:spacing w:before="200" w:after="120"/>
      <w:ind w:firstLine="0"/>
      <w:outlineLvl w:val="1"/>
    </w:pPr>
    <w:rPr>
      <w:rFonts w:asciiTheme="majorHAnsi" w:hAnsiTheme="majorHAnsi" w:eastAsiaTheme="majorEastAsia" w:cstheme="majorBidi"/>
      <w:b/>
      <w:bCs/>
      <w:color w:val="4F81BD" w:themeColor="accent1"/>
      <w:sz w:val="28"/>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120"/>
      <w:ind w:firstLine="0"/>
      <w:outlineLvl w:val="2"/>
    </w:pPr>
    <w:rPr>
      <w:rFonts w:asciiTheme="majorHAnsi" w:hAnsiTheme="majorHAnsi" w:eastAsiaTheme="majorEastAsia" w:cstheme="majorBidi"/>
      <w:b/>
      <w:bCs/>
      <w:color w:val="4F81BD" w:themeColor="accent1"/>
      <w:sz w:val="24"/>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8810</Words>
  <Characters>9932</Characters>
  <Lines>0</Lines>
  <Paragraphs>0</Paragraphs>
  <TotalTime>18</TotalTime>
  <ScaleCrop>false</ScaleCrop>
  <LinksUpToDate>false</LinksUpToDate>
  <CharactersWithSpaces>12856</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WPS_1653969928</cp:lastModifiedBy>
  <dcterms:modified xsi:type="dcterms:W3CDTF">2026-06-04T07:22:01Z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eyJoZGlkIjoiMWYzMjNhODMyYTA4MWU1MTljZjBlZjA0ZDRjZDA2YjEiLCJ1c2VySWQiOiIxMzc5MzY5MDYxIn0=</vt:lpwstr>
  </property>
  <property fmtid="{D5CDD505-2E9C-101B-9397-08002B2CF9AE}" pid="3" name="KSOProductBuildVer">
    <vt:lpwstr>2052-12.1.0.26375</vt:lpwstr>
  </property>
  <property fmtid="{D5CDD505-2E9C-101B-9397-08002B2CF9AE}" pid="4" name="ICV">
    <vt:lpwstr>29A32656952C483FABD7D91089FDA386_12</vt:lpwstr>
  </property>
</Properties>
</file>