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8E8F" w14:textId="77777777" w:rsidR="00A96FF3" w:rsidRDefault="006E2787">
      <w:pPr>
        <w:spacing w:before="44"/>
        <w:ind w:left="2136" w:right="2352"/>
        <w:jc w:val="center"/>
        <w:rPr>
          <w:b/>
          <w:sz w:val="28"/>
        </w:rPr>
      </w:pPr>
      <w:r>
        <w:rPr>
          <w:b/>
          <w:sz w:val="28"/>
        </w:rPr>
        <w:t xml:space="preserve">2022 </w:t>
      </w:r>
      <w:r>
        <w:rPr>
          <w:b/>
          <w:sz w:val="28"/>
        </w:rPr>
        <w:t>年春《公司金融》第二次作业</w:t>
      </w:r>
    </w:p>
    <w:p w14:paraId="4085CD9B" w14:textId="77777777" w:rsidR="00A96FF3" w:rsidRDefault="006E2787">
      <w:pPr>
        <w:pStyle w:val="a3"/>
        <w:spacing w:before="197"/>
        <w:ind w:left="2136" w:right="2352"/>
        <w:jc w:val="center"/>
      </w:pPr>
      <w:r>
        <w:t>提交截止日期：</w:t>
      </w:r>
      <w:r>
        <w:t>4.8</w:t>
      </w:r>
    </w:p>
    <w:p w14:paraId="682D7BFD" w14:textId="77777777" w:rsidR="00A96FF3" w:rsidRDefault="00A96FF3">
      <w:pPr>
        <w:pStyle w:val="a3"/>
        <w:spacing w:before="15"/>
        <w:rPr>
          <w:sz w:val="9"/>
        </w:rPr>
      </w:pPr>
    </w:p>
    <w:p w14:paraId="33FA7A18" w14:textId="77777777" w:rsidR="00A96FF3" w:rsidRDefault="006E2787">
      <w:pPr>
        <w:pStyle w:val="a3"/>
        <w:spacing w:before="69"/>
        <w:ind w:left="120"/>
      </w:pPr>
      <w:r>
        <w:t>一、判断，并简要说明理由</w:t>
      </w:r>
    </w:p>
    <w:p w14:paraId="2B2AB4C0" w14:textId="0891E4F0" w:rsidR="00A96FF3" w:rsidRDefault="006E2787">
      <w:pPr>
        <w:pStyle w:val="a3"/>
        <w:tabs>
          <w:tab w:val="left" w:pos="1440"/>
        </w:tabs>
        <w:spacing w:before="230" w:line="381" w:lineRule="auto"/>
        <w:ind w:left="120" w:right="336"/>
      </w:pPr>
      <w:r>
        <w:t>1</w:t>
      </w:r>
      <w:r>
        <w:t>、</w:t>
      </w:r>
      <w:r>
        <w:rPr>
          <w:spacing w:val="7"/>
        </w:rPr>
        <w:t xml:space="preserve"> </w:t>
      </w:r>
      <w:r>
        <w:t>如果两只股票的相关系数为</w:t>
      </w:r>
      <w:r>
        <w:rPr>
          <w:spacing w:val="-32"/>
        </w:rPr>
        <w:t>-1</w:t>
      </w:r>
      <w:r>
        <w:rPr>
          <w:spacing w:val="-32"/>
        </w:rPr>
        <w:t>，</w:t>
      </w:r>
      <w:r>
        <w:t>那么总是可以构造出一个标准差为</w:t>
      </w:r>
      <w:r>
        <w:t xml:space="preserve"> 0</w:t>
      </w:r>
      <w:r>
        <w:rPr>
          <w:spacing w:val="1"/>
        </w:rPr>
        <w:t xml:space="preserve"> </w:t>
      </w:r>
      <w:r>
        <w:t>的投</w:t>
      </w:r>
      <w:r>
        <w:rPr>
          <w:spacing w:val="-15"/>
        </w:rPr>
        <w:t>资</w:t>
      </w:r>
      <w:r>
        <w:t>组合。（</w:t>
      </w:r>
      <w:r w:rsidR="00DB5022">
        <w:rPr>
          <w:rFonts w:hint="eastAsia"/>
        </w:rPr>
        <w:t>对</w:t>
      </w:r>
      <w:r>
        <w:tab/>
      </w:r>
      <w:r>
        <w:t>）</w:t>
      </w:r>
    </w:p>
    <w:p w14:paraId="072C67E6" w14:textId="77777777" w:rsidR="009811D6" w:rsidRPr="009811D6" w:rsidRDefault="009811D6">
      <w:pPr>
        <w:pStyle w:val="a3"/>
        <w:tabs>
          <w:tab w:val="left" w:pos="1440"/>
        </w:tabs>
        <w:spacing w:before="230" w:line="381" w:lineRule="auto"/>
        <w:ind w:left="120" w:right="336"/>
      </w:pPr>
      <w:r>
        <w:rPr>
          <w:rFonts w:hint="eastAsia"/>
        </w:rPr>
        <w:t>设两只股票的股价为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，设标准差为0的投资组合为</w:t>
      </w:r>
      <m:oMath>
        <m:r>
          <w:rPr>
            <w:rFonts w:ascii="Cambria Math" w:hAnsi="Cambria Math"/>
          </w:rPr>
          <m:t>X+αY</m:t>
        </m:r>
      </m:oMath>
      <w:r>
        <w:rPr>
          <w:rFonts w:hint="eastAsia"/>
        </w:rPr>
        <w:t>，则有</w:t>
      </w:r>
    </w:p>
    <w:p w14:paraId="76B1DA9D" w14:textId="77777777" w:rsidR="00B50CA5" w:rsidRDefault="009811D6">
      <w:pPr>
        <w:pStyle w:val="a3"/>
        <w:tabs>
          <w:tab w:val="left" w:pos="1440"/>
        </w:tabs>
        <w:spacing w:before="230" w:line="381" w:lineRule="auto"/>
        <w:ind w:left="120" w:right="336"/>
        <w:rPr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αY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</w:rPr>
            <m:t>αD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eastAsia"/>
              <w:lang w:val="en-US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 w:hint="eastAsia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ra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0088FF8" w14:textId="40D8D8C1" w:rsidR="009811D6" w:rsidRPr="009811D6" w:rsidRDefault="009811D6">
      <w:pPr>
        <w:pStyle w:val="a3"/>
        <w:tabs>
          <w:tab w:val="left" w:pos="1440"/>
        </w:tabs>
        <w:spacing w:before="230" w:line="381" w:lineRule="auto"/>
        <w:ind w:left="120" w:right="336"/>
        <w:rPr>
          <w:rFonts w:hint="eastAsia"/>
          <w:lang w:val="en-US"/>
        </w:rPr>
      </w:pPr>
      <w:r>
        <w:rPr>
          <w:rFonts w:hint="eastAsia"/>
          <w:lang w:val="en-US"/>
        </w:rPr>
        <w:t>解得</w:t>
      </w:r>
      <m:oMath>
        <m:r>
          <w:rPr>
            <w:rFonts w:ascii="Cambria Math" w:hAnsi="Cambria Math"/>
            <w:lang w:val="en-US"/>
          </w:rPr>
          <m:t>α=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den>
            </m:f>
          </m:e>
        </m:rad>
      </m:oMath>
      <w:r w:rsidR="00B50CA5">
        <w:rPr>
          <w:rFonts w:hint="eastAsia"/>
          <w:lang w:val="en-US"/>
        </w:rPr>
        <w:t>，这就是标准差为0的投资组合。</w:t>
      </w:r>
    </w:p>
    <w:p w14:paraId="2064EEE9" w14:textId="0D618E30" w:rsidR="00A96FF3" w:rsidRDefault="006E2787">
      <w:pPr>
        <w:pStyle w:val="a3"/>
        <w:tabs>
          <w:tab w:val="left" w:pos="6420"/>
        </w:tabs>
        <w:spacing w:line="390" w:lineRule="exact"/>
        <w:ind w:left="120"/>
      </w:pPr>
      <w:r>
        <w:t>2</w:t>
      </w:r>
      <w:r>
        <w:t>、</w:t>
      </w:r>
      <w:r>
        <w:rPr>
          <w:spacing w:val="7"/>
        </w:rPr>
        <w:t xml:space="preserve"> </w:t>
      </w:r>
      <w:r>
        <w:t>资本资产定价模型启示我们风险越高，回报越高。（</w:t>
      </w:r>
      <w:r w:rsidR="00FB40BE">
        <w:rPr>
          <w:rFonts w:hint="eastAsia"/>
        </w:rPr>
        <w:t>对</w:t>
      </w:r>
      <w:r>
        <w:tab/>
      </w:r>
      <w:r>
        <w:t>）</w:t>
      </w:r>
    </w:p>
    <w:p w14:paraId="529EBB49" w14:textId="77777777" w:rsidR="00FB40BE" w:rsidRDefault="006E2787">
      <w:pPr>
        <w:pStyle w:val="a3"/>
        <w:spacing w:before="230" w:line="381" w:lineRule="auto"/>
        <w:ind w:left="330" w:right="2650" w:hanging="210"/>
        <w:rPr>
          <w:spacing w:val="-1"/>
        </w:rPr>
      </w:pPr>
      <w:r>
        <w:t>3</w:t>
      </w:r>
      <w:r>
        <w:rPr>
          <w:spacing w:val="-1"/>
        </w:rPr>
        <w:t>、</w:t>
      </w:r>
      <w:r>
        <w:rPr>
          <w:spacing w:val="-1"/>
        </w:rPr>
        <w:t xml:space="preserve"> </w:t>
      </w:r>
      <w:r>
        <w:rPr>
          <w:spacing w:val="-1"/>
        </w:rPr>
        <w:t>判断下面哪些是系统性风险，哪些是非系统性风险</w:t>
      </w:r>
    </w:p>
    <w:p w14:paraId="617BF47A" w14:textId="192C9350" w:rsidR="00FB40BE" w:rsidRDefault="006E2787" w:rsidP="00FB40BE">
      <w:pPr>
        <w:pStyle w:val="a3"/>
        <w:spacing w:before="230" w:line="382" w:lineRule="auto"/>
        <w:ind w:left="329" w:hanging="210"/>
      </w:pPr>
      <w:r>
        <w:t>A</w:t>
      </w:r>
      <w:r>
        <w:t>）工厂因为台风而关闭的风险</w:t>
      </w:r>
      <w:r>
        <w:t xml:space="preserve">                                   </w:t>
      </w:r>
      <w:r w:rsidR="00FB40BE">
        <w:rPr>
          <w:rFonts w:hint="eastAsia"/>
        </w:rPr>
        <w:t>系统性风险</w:t>
      </w:r>
    </w:p>
    <w:p w14:paraId="73B17423" w14:textId="189AB70B" w:rsidR="00FB40BE" w:rsidRDefault="006E2787" w:rsidP="00FB40BE">
      <w:pPr>
        <w:pStyle w:val="a3"/>
        <w:spacing w:before="230" w:line="382" w:lineRule="auto"/>
        <w:ind w:left="329" w:hanging="210"/>
      </w:pPr>
      <w:r>
        <w:t>B</w:t>
      </w:r>
      <w:r>
        <w:t>）经济下滑，对产品需求减少的风险</w:t>
      </w:r>
      <w:r>
        <w:t xml:space="preserve">                        </w:t>
      </w:r>
      <w:r w:rsidR="00FB40BE">
        <w:rPr>
          <w:rFonts w:hint="eastAsia"/>
        </w:rPr>
        <w:t>系统性风险</w:t>
      </w:r>
    </w:p>
    <w:p w14:paraId="0A41CB9A" w14:textId="026CD394" w:rsidR="00FB40BE" w:rsidRDefault="006E2787" w:rsidP="00FB40BE">
      <w:pPr>
        <w:pStyle w:val="a3"/>
        <w:spacing w:before="230" w:line="382" w:lineRule="auto"/>
        <w:ind w:left="329" w:hanging="210"/>
      </w:pPr>
      <w:r>
        <w:t>C</w:t>
      </w:r>
      <w:r>
        <w:t>）最好的雇员被挖走的风险</w:t>
      </w:r>
      <w:r>
        <w:t xml:space="preserve">                                       </w:t>
      </w:r>
      <w:r w:rsidR="00FB40BE">
        <w:rPr>
          <w:rFonts w:hint="eastAsia"/>
        </w:rPr>
        <w:t>非系统性风险</w:t>
      </w:r>
    </w:p>
    <w:p w14:paraId="5B2E2D38" w14:textId="6EDC97D5" w:rsidR="00A96FF3" w:rsidRDefault="006E2787" w:rsidP="00FB40BE">
      <w:pPr>
        <w:pStyle w:val="a3"/>
        <w:spacing w:before="230" w:line="382" w:lineRule="auto"/>
        <w:ind w:left="329" w:hanging="210"/>
      </w:pPr>
      <w:r>
        <w:t>D</w:t>
      </w:r>
      <w:r>
        <w:t>）研发部门研发的新技术无法产品化的风险</w:t>
      </w:r>
      <w:r w:rsidR="00FB40BE">
        <w:rPr>
          <w:rFonts w:hint="eastAsia"/>
        </w:rPr>
        <w:t xml:space="preserve"> </w:t>
      </w:r>
      <w:r w:rsidR="00FB40BE">
        <w:t xml:space="preserve">         </w:t>
      </w:r>
      <w:r w:rsidR="00FB40BE">
        <w:rPr>
          <w:rFonts w:hint="eastAsia"/>
        </w:rPr>
        <w:t>非系统性风险</w:t>
      </w:r>
    </w:p>
    <w:p w14:paraId="1589AF9D" w14:textId="350EF1A7" w:rsidR="00A96FF3" w:rsidRDefault="00A96FF3">
      <w:pPr>
        <w:pStyle w:val="a3"/>
        <w:spacing w:before="9"/>
        <w:rPr>
          <w:sz w:val="37"/>
        </w:rPr>
      </w:pPr>
    </w:p>
    <w:p w14:paraId="1959577B" w14:textId="137DCBEC" w:rsidR="00D33A11" w:rsidRDefault="00D33A11">
      <w:pPr>
        <w:pStyle w:val="a3"/>
        <w:spacing w:before="9"/>
        <w:rPr>
          <w:sz w:val="37"/>
        </w:rPr>
      </w:pPr>
    </w:p>
    <w:p w14:paraId="5C04E616" w14:textId="42FBD387" w:rsidR="00D33A11" w:rsidRDefault="00D33A11">
      <w:pPr>
        <w:pStyle w:val="a3"/>
        <w:spacing w:before="9"/>
        <w:rPr>
          <w:sz w:val="37"/>
        </w:rPr>
      </w:pPr>
    </w:p>
    <w:p w14:paraId="51EEAD58" w14:textId="4C7CF7DD" w:rsidR="00D33A11" w:rsidRDefault="00D33A11">
      <w:pPr>
        <w:pStyle w:val="a3"/>
        <w:spacing w:before="9"/>
        <w:rPr>
          <w:sz w:val="37"/>
        </w:rPr>
      </w:pPr>
    </w:p>
    <w:p w14:paraId="713DAC87" w14:textId="6610AFAD" w:rsidR="00D33A11" w:rsidRDefault="00D33A11">
      <w:pPr>
        <w:pStyle w:val="a3"/>
        <w:spacing w:before="9"/>
        <w:rPr>
          <w:sz w:val="37"/>
        </w:rPr>
      </w:pPr>
    </w:p>
    <w:p w14:paraId="29306AC6" w14:textId="417CE920" w:rsidR="00D33A11" w:rsidRDefault="00D33A11">
      <w:pPr>
        <w:pStyle w:val="a3"/>
        <w:spacing w:before="9"/>
        <w:rPr>
          <w:sz w:val="37"/>
        </w:rPr>
      </w:pPr>
    </w:p>
    <w:p w14:paraId="70083721" w14:textId="0637EA46" w:rsidR="00D33A11" w:rsidRDefault="00D33A11">
      <w:pPr>
        <w:pStyle w:val="a3"/>
        <w:spacing w:before="9"/>
        <w:rPr>
          <w:sz w:val="37"/>
        </w:rPr>
      </w:pPr>
    </w:p>
    <w:p w14:paraId="2A232785" w14:textId="77777777" w:rsidR="00D33A11" w:rsidRDefault="00D33A11">
      <w:pPr>
        <w:pStyle w:val="a3"/>
        <w:spacing w:before="9"/>
        <w:rPr>
          <w:rFonts w:hint="eastAsia"/>
          <w:sz w:val="37"/>
        </w:rPr>
      </w:pPr>
    </w:p>
    <w:p w14:paraId="5E22CD96" w14:textId="77777777" w:rsidR="00A96FF3" w:rsidRDefault="006E2787">
      <w:pPr>
        <w:pStyle w:val="a3"/>
        <w:ind w:left="120"/>
      </w:pPr>
      <w:r>
        <w:t>二、简答题</w:t>
      </w:r>
    </w:p>
    <w:p w14:paraId="7835CC21" w14:textId="77777777" w:rsidR="00A96FF3" w:rsidRDefault="006E2787">
      <w:pPr>
        <w:pStyle w:val="a3"/>
        <w:spacing w:before="230"/>
        <w:ind w:left="120"/>
      </w:pPr>
      <w:r>
        <w:t>描述投资者如何组合一项风险资产和一项无风险资产以取得</w:t>
      </w:r>
      <w:proofErr w:type="gramStart"/>
      <w:r>
        <w:t>最佳资产</w:t>
      </w:r>
      <w:proofErr w:type="gramEnd"/>
      <w:r>
        <w:t>组合？</w:t>
      </w:r>
    </w:p>
    <w:p w14:paraId="42E5099F" w14:textId="347091E0" w:rsidR="00A96FF3" w:rsidRDefault="00D33A11">
      <w:pPr>
        <w:pStyle w:val="a3"/>
        <w:rPr>
          <w:sz w:val="30"/>
        </w:rPr>
      </w:pPr>
      <w:r>
        <w:rPr>
          <w:rFonts w:hint="eastAsia"/>
          <w:sz w:val="30"/>
        </w:rPr>
        <w:t>答：</w:t>
      </w:r>
    </w:p>
    <w:p w14:paraId="67AEE782" w14:textId="10AD6D21" w:rsidR="00A96FF3" w:rsidRDefault="00D33A11">
      <w:pPr>
        <w:pStyle w:val="a3"/>
        <w:spacing w:before="2"/>
        <w:rPr>
          <w:sz w:val="22"/>
        </w:rPr>
      </w:pPr>
      <w:r w:rsidRPr="00D33A11">
        <w:rPr>
          <w:rFonts w:hint="eastAsia"/>
          <w:sz w:val="22"/>
        </w:rPr>
        <w:t>找到无风险资产和有效前沿以后，我们选择斜率最大的一条切线为资本市场线</w:t>
      </w:r>
      <w:r>
        <w:rPr>
          <w:rFonts w:hint="eastAsia"/>
          <w:sz w:val="22"/>
        </w:rPr>
        <w:t>，</w:t>
      </w:r>
      <w:r w:rsidRPr="00D33A11">
        <w:rPr>
          <w:rFonts w:hint="eastAsia"/>
          <w:sz w:val="22"/>
        </w:rPr>
        <w:t>找到资本市场线以后，投资者在该直线上选择</w:t>
      </w:r>
      <w:proofErr w:type="gramStart"/>
      <w:r w:rsidRPr="00D33A11">
        <w:rPr>
          <w:rFonts w:hint="eastAsia"/>
          <w:sz w:val="22"/>
        </w:rPr>
        <w:t>一点—无风险</w:t>
      </w:r>
      <w:proofErr w:type="gramEnd"/>
      <w:r w:rsidRPr="00D33A11">
        <w:rPr>
          <w:rFonts w:hint="eastAsia"/>
          <w:sz w:val="22"/>
        </w:rPr>
        <w:t>资产和市场组合</w:t>
      </w:r>
      <w:r w:rsidRPr="00D33A11">
        <w:rPr>
          <w:sz w:val="22"/>
        </w:rPr>
        <w:t>M 的某个组合。</w:t>
      </w:r>
      <w:r>
        <w:rPr>
          <w:rFonts w:hint="eastAsia"/>
          <w:sz w:val="22"/>
        </w:rPr>
        <w:t>这就是</w:t>
      </w:r>
      <w:proofErr w:type="gramStart"/>
      <w:r>
        <w:rPr>
          <w:rFonts w:hint="eastAsia"/>
          <w:sz w:val="22"/>
        </w:rPr>
        <w:t>最佳资产</w:t>
      </w:r>
      <w:proofErr w:type="gramEnd"/>
      <w:r>
        <w:rPr>
          <w:rFonts w:hint="eastAsia"/>
          <w:sz w:val="22"/>
        </w:rPr>
        <w:t>组合。当只有一项风险资产时，有效</w:t>
      </w:r>
      <w:proofErr w:type="gramStart"/>
      <w:r>
        <w:rPr>
          <w:rFonts w:hint="eastAsia"/>
          <w:sz w:val="22"/>
        </w:rPr>
        <w:t>前沿是</w:t>
      </w:r>
      <w:proofErr w:type="gramEnd"/>
      <w:r>
        <w:rPr>
          <w:rFonts w:hint="eastAsia"/>
          <w:sz w:val="22"/>
        </w:rPr>
        <w:t>一个点。</w:t>
      </w:r>
    </w:p>
    <w:p w14:paraId="68405610" w14:textId="0732A42B" w:rsidR="00D33A11" w:rsidRDefault="00D33A11">
      <w:pPr>
        <w:pStyle w:val="a3"/>
        <w:spacing w:before="2"/>
        <w:rPr>
          <w:sz w:val="22"/>
        </w:rPr>
      </w:pPr>
    </w:p>
    <w:p w14:paraId="3CD0BEDE" w14:textId="21AFD39D" w:rsidR="00D33A11" w:rsidRDefault="00D33A11">
      <w:pPr>
        <w:pStyle w:val="a3"/>
        <w:spacing w:before="2"/>
        <w:rPr>
          <w:sz w:val="22"/>
        </w:rPr>
      </w:pPr>
    </w:p>
    <w:p w14:paraId="7155EDA6" w14:textId="088ADB51" w:rsidR="00D33A11" w:rsidRDefault="00D33A11">
      <w:pPr>
        <w:pStyle w:val="a3"/>
        <w:spacing w:before="2"/>
        <w:rPr>
          <w:sz w:val="22"/>
        </w:rPr>
      </w:pPr>
    </w:p>
    <w:p w14:paraId="520C5604" w14:textId="3E4CBC02" w:rsidR="00D33A11" w:rsidRDefault="00D33A11">
      <w:pPr>
        <w:pStyle w:val="a3"/>
        <w:spacing w:before="2"/>
        <w:rPr>
          <w:sz w:val="22"/>
        </w:rPr>
      </w:pPr>
    </w:p>
    <w:p w14:paraId="20D5696D" w14:textId="363A4620" w:rsidR="00D33A11" w:rsidRDefault="00D33A11">
      <w:pPr>
        <w:pStyle w:val="a3"/>
        <w:spacing w:before="2"/>
        <w:rPr>
          <w:sz w:val="22"/>
        </w:rPr>
      </w:pPr>
    </w:p>
    <w:p w14:paraId="74A1170F" w14:textId="62FE87B1" w:rsidR="00D33A11" w:rsidRDefault="00D33A11">
      <w:pPr>
        <w:pStyle w:val="a3"/>
        <w:spacing w:before="2"/>
        <w:rPr>
          <w:sz w:val="22"/>
        </w:rPr>
      </w:pPr>
    </w:p>
    <w:p w14:paraId="59A88B35" w14:textId="31F15E66" w:rsidR="00D33A11" w:rsidRDefault="00D33A11">
      <w:pPr>
        <w:pStyle w:val="a3"/>
        <w:spacing w:before="2"/>
        <w:rPr>
          <w:sz w:val="22"/>
        </w:rPr>
      </w:pPr>
    </w:p>
    <w:p w14:paraId="13BF4959" w14:textId="2C6D8A17" w:rsidR="00D33A11" w:rsidRDefault="00D33A11">
      <w:pPr>
        <w:pStyle w:val="a3"/>
        <w:spacing w:before="2"/>
        <w:rPr>
          <w:sz w:val="22"/>
        </w:rPr>
      </w:pPr>
    </w:p>
    <w:p w14:paraId="01575506" w14:textId="0E65714B" w:rsidR="00D33A11" w:rsidRDefault="00D33A11">
      <w:pPr>
        <w:pStyle w:val="a3"/>
        <w:spacing w:before="2"/>
        <w:rPr>
          <w:sz w:val="22"/>
        </w:rPr>
      </w:pPr>
    </w:p>
    <w:p w14:paraId="64B800DE" w14:textId="020639F4" w:rsidR="00D33A11" w:rsidRDefault="00D33A11">
      <w:pPr>
        <w:pStyle w:val="a3"/>
        <w:spacing w:before="2"/>
        <w:rPr>
          <w:sz w:val="22"/>
        </w:rPr>
      </w:pPr>
    </w:p>
    <w:p w14:paraId="43E9F3A6" w14:textId="0134EF04" w:rsidR="00D33A11" w:rsidRDefault="00D33A11">
      <w:pPr>
        <w:pStyle w:val="a3"/>
        <w:spacing w:before="2"/>
        <w:rPr>
          <w:sz w:val="22"/>
        </w:rPr>
      </w:pPr>
    </w:p>
    <w:p w14:paraId="66C23069" w14:textId="42C822AF" w:rsidR="00D33A11" w:rsidRDefault="00D33A11">
      <w:pPr>
        <w:pStyle w:val="a3"/>
        <w:spacing w:before="2"/>
        <w:rPr>
          <w:sz w:val="22"/>
        </w:rPr>
      </w:pPr>
    </w:p>
    <w:p w14:paraId="12E76027" w14:textId="51608412" w:rsidR="00D33A11" w:rsidRDefault="00D33A11">
      <w:pPr>
        <w:pStyle w:val="a3"/>
        <w:spacing w:before="2"/>
        <w:rPr>
          <w:sz w:val="22"/>
        </w:rPr>
      </w:pPr>
    </w:p>
    <w:p w14:paraId="7EB78073" w14:textId="60C7BAC7" w:rsidR="00D33A11" w:rsidRDefault="00D33A11">
      <w:pPr>
        <w:pStyle w:val="a3"/>
        <w:spacing w:before="2"/>
        <w:rPr>
          <w:sz w:val="22"/>
        </w:rPr>
      </w:pPr>
    </w:p>
    <w:p w14:paraId="69555FFF" w14:textId="0B50B592" w:rsidR="00D33A11" w:rsidRDefault="00D33A11">
      <w:pPr>
        <w:pStyle w:val="a3"/>
        <w:spacing w:before="2"/>
        <w:rPr>
          <w:sz w:val="22"/>
        </w:rPr>
      </w:pPr>
    </w:p>
    <w:p w14:paraId="32526626" w14:textId="1E259DEB" w:rsidR="00D33A11" w:rsidRDefault="00D33A11">
      <w:pPr>
        <w:pStyle w:val="a3"/>
        <w:spacing w:before="2"/>
        <w:rPr>
          <w:sz w:val="22"/>
        </w:rPr>
      </w:pPr>
    </w:p>
    <w:p w14:paraId="2427F93E" w14:textId="2C919432" w:rsidR="00D33A11" w:rsidRDefault="00D33A11">
      <w:pPr>
        <w:pStyle w:val="a3"/>
        <w:spacing w:before="2"/>
        <w:rPr>
          <w:sz w:val="22"/>
        </w:rPr>
      </w:pPr>
    </w:p>
    <w:p w14:paraId="67EEFF61" w14:textId="56C81570" w:rsidR="00D33A11" w:rsidRDefault="00D33A11">
      <w:pPr>
        <w:pStyle w:val="a3"/>
        <w:spacing w:before="2"/>
        <w:rPr>
          <w:sz w:val="22"/>
        </w:rPr>
      </w:pPr>
    </w:p>
    <w:p w14:paraId="54EB446D" w14:textId="60ACE229" w:rsidR="00D33A11" w:rsidRDefault="00D33A11">
      <w:pPr>
        <w:pStyle w:val="a3"/>
        <w:spacing w:before="2"/>
        <w:rPr>
          <w:sz w:val="22"/>
        </w:rPr>
      </w:pPr>
    </w:p>
    <w:p w14:paraId="636D338E" w14:textId="6F5FC7AB" w:rsidR="00D33A11" w:rsidRDefault="00D33A11">
      <w:pPr>
        <w:pStyle w:val="a3"/>
        <w:spacing w:before="2"/>
        <w:rPr>
          <w:sz w:val="22"/>
        </w:rPr>
      </w:pPr>
    </w:p>
    <w:p w14:paraId="487BD957" w14:textId="524DBFF0" w:rsidR="00D33A11" w:rsidRDefault="00D33A11">
      <w:pPr>
        <w:pStyle w:val="a3"/>
        <w:spacing w:before="2"/>
        <w:rPr>
          <w:sz w:val="22"/>
        </w:rPr>
      </w:pPr>
    </w:p>
    <w:p w14:paraId="0BC93228" w14:textId="4095E573" w:rsidR="00D33A11" w:rsidRDefault="00D33A11">
      <w:pPr>
        <w:pStyle w:val="a3"/>
        <w:spacing w:before="2"/>
        <w:rPr>
          <w:sz w:val="22"/>
        </w:rPr>
      </w:pPr>
    </w:p>
    <w:p w14:paraId="51903A1A" w14:textId="2511E2AB" w:rsidR="00D33A11" w:rsidRDefault="00D33A11">
      <w:pPr>
        <w:pStyle w:val="a3"/>
        <w:spacing w:before="2"/>
        <w:rPr>
          <w:sz w:val="22"/>
        </w:rPr>
      </w:pPr>
    </w:p>
    <w:p w14:paraId="3A319130" w14:textId="77777777" w:rsidR="00D33A11" w:rsidRDefault="00D33A11">
      <w:pPr>
        <w:pStyle w:val="a3"/>
        <w:spacing w:before="2"/>
        <w:rPr>
          <w:rFonts w:hint="eastAsia"/>
          <w:sz w:val="22"/>
        </w:rPr>
      </w:pPr>
    </w:p>
    <w:p w14:paraId="3BF462C2" w14:textId="77777777" w:rsidR="00A96FF3" w:rsidRDefault="006E2787">
      <w:pPr>
        <w:pStyle w:val="a3"/>
        <w:ind w:left="120"/>
      </w:pPr>
      <w:r>
        <w:t>三、计算题</w:t>
      </w:r>
    </w:p>
    <w:p w14:paraId="297D81F9" w14:textId="77777777" w:rsidR="00A96FF3" w:rsidRDefault="006E2787">
      <w:pPr>
        <w:pStyle w:val="a3"/>
        <w:spacing w:before="230" w:line="381" w:lineRule="auto"/>
        <w:ind w:left="480" w:right="363" w:hanging="3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87C7E4" wp14:editId="100C4174">
            <wp:simplePos x="0" y="0"/>
            <wp:positionH relativeFrom="page">
              <wp:posOffset>1411194</wp:posOffset>
            </wp:positionH>
            <wp:positionV relativeFrom="paragraph">
              <wp:posOffset>1016712</wp:posOffset>
            </wp:positionV>
            <wp:extent cx="3180132" cy="14878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132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>
        <w:t>、计算算术均值和几何均值的回报率，哪一个指标能更好地评估这个封闭式基金的表</w:t>
      </w:r>
      <w:r>
        <w:t>现</w:t>
      </w:r>
      <w:r>
        <w:t>？</w:t>
      </w:r>
    </w:p>
    <w:p w14:paraId="4EEFEA99" w14:textId="77777777" w:rsidR="00A96FF3" w:rsidRDefault="00A96FF3">
      <w:pPr>
        <w:spacing w:line="381" w:lineRule="auto"/>
        <w:rPr>
          <w:rFonts w:hint="eastAsia"/>
        </w:rPr>
        <w:sectPr w:rsidR="00A96FF3">
          <w:type w:val="continuous"/>
          <w:pgSz w:w="11910" w:h="16840"/>
          <w:pgMar w:top="1460" w:right="1460" w:bottom="280" w:left="1680" w:header="720" w:footer="720" w:gutter="0"/>
          <w:cols w:space="720"/>
        </w:sectPr>
      </w:pPr>
    </w:p>
    <w:p w14:paraId="6507D1D0" w14:textId="3656EC36" w:rsidR="00A96FF3" w:rsidRDefault="00D33A11">
      <w:pPr>
        <w:pStyle w:val="a3"/>
        <w:rPr>
          <w:sz w:val="20"/>
        </w:rPr>
      </w:pPr>
      <w:r>
        <w:rPr>
          <w:rFonts w:hint="eastAsia"/>
          <w:sz w:val="20"/>
        </w:rPr>
        <w:lastRenderedPageBreak/>
        <w:t>解：</w:t>
      </w:r>
    </w:p>
    <w:p w14:paraId="3FB0958E" w14:textId="54155F40" w:rsidR="00D33A11" w:rsidRDefault="00D33A11">
      <w:pPr>
        <w:pStyle w:val="a3"/>
        <w:rPr>
          <w:sz w:val="20"/>
        </w:rPr>
      </w:pPr>
      <w:r>
        <w:rPr>
          <w:rFonts w:hint="eastAsia"/>
          <w:sz w:val="20"/>
        </w:rPr>
        <w:t>算术均值回报率为</w:t>
      </w:r>
    </w:p>
    <w:p w14:paraId="52F3EB19" w14:textId="32222DB0" w:rsidR="00D33A11" w:rsidRPr="00D33A11" w:rsidRDefault="00D33A11">
      <w:pPr>
        <w:pStyle w:val="a3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-0.5-0.2+1.5</m:t>
              </m:r>
            </m:num>
            <m:den>
              <m:r>
                <w:rPr>
                  <w:rFonts w:ascii="Cambria Math" w:hAnsi="Cambria Math"/>
                  <w:sz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</w:rPr>
            <m:t>=26.67%</m:t>
          </m:r>
        </m:oMath>
      </m:oMathPara>
    </w:p>
    <w:p w14:paraId="643F7D1F" w14:textId="0AF506E4" w:rsidR="00D33A11" w:rsidRDefault="00D33A11">
      <w:pPr>
        <w:pStyle w:val="a3"/>
        <w:rPr>
          <w:sz w:val="20"/>
        </w:rPr>
      </w:pPr>
      <w:r>
        <w:rPr>
          <w:rFonts w:hint="eastAsia"/>
          <w:sz w:val="20"/>
        </w:rPr>
        <w:t>几何均值回报率为</w:t>
      </w:r>
    </w:p>
    <w:p w14:paraId="75161285" w14:textId="3BDD5070" w:rsidR="00D33A11" w:rsidRPr="00581FA8" w:rsidRDefault="00581FA8">
      <w:pPr>
        <w:pStyle w:val="a3"/>
        <w:rPr>
          <w:sz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</w:rPr>
            <m:t>=0.5*0.8*2.5</m:t>
          </m:r>
        </m:oMath>
      </m:oMathPara>
    </w:p>
    <w:p w14:paraId="34639E99" w14:textId="53785CF4" w:rsidR="00581FA8" w:rsidRDefault="00581FA8">
      <w:pPr>
        <w:pStyle w:val="a3"/>
        <w:rPr>
          <w:sz w:val="20"/>
        </w:rPr>
      </w:pPr>
      <w:r>
        <w:rPr>
          <w:rFonts w:hint="eastAsia"/>
          <w:sz w:val="20"/>
        </w:rPr>
        <w:t>得</w:t>
      </w:r>
    </w:p>
    <w:p w14:paraId="4B92DA60" w14:textId="513BE350" w:rsidR="00581FA8" w:rsidRPr="00581FA8" w:rsidRDefault="00581FA8">
      <w:pPr>
        <w:pStyle w:val="a3"/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>=0</m:t>
          </m:r>
        </m:oMath>
      </m:oMathPara>
    </w:p>
    <w:p w14:paraId="018C4A75" w14:textId="58314638" w:rsidR="00581FA8" w:rsidRDefault="00581FA8">
      <w:pPr>
        <w:pStyle w:val="a3"/>
        <w:rPr>
          <w:rFonts w:hint="eastAsia"/>
          <w:sz w:val="20"/>
        </w:rPr>
      </w:pPr>
      <w:r>
        <w:rPr>
          <w:rFonts w:hint="eastAsia"/>
          <w:sz w:val="20"/>
        </w:rPr>
        <w:t>几何平均回报率更能更好地评估这个基金的表现。</w:t>
      </w:r>
    </w:p>
    <w:p w14:paraId="7808F76B" w14:textId="77777777" w:rsidR="00A96FF3" w:rsidRDefault="00A96FF3">
      <w:pPr>
        <w:pStyle w:val="a3"/>
        <w:spacing w:before="4"/>
        <w:rPr>
          <w:rFonts w:hint="eastAsia"/>
          <w:sz w:val="11"/>
        </w:rPr>
      </w:pPr>
    </w:p>
    <w:p w14:paraId="0B08C26E" w14:textId="77777777" w:rsidR="00A96FF3" w:rsidRDefault="006E2787">
      <w:pPr>
        <w:pStyle w:val="a3"/>
        <w:spacing w:before="68"/>
        <w:ind w:left="120"/>
      </w:pPr>
      <w:r>
        <w:t>2</w:t>
      </w:r>
      <w:r>
        <w:t>、投资者将</w:t>
      </w:r>
      <w:r>
        <w:t xml:space="preserve"> 70%</w:t>
      </w:r>
      <w:r>
        <w:t>的财富投资于期望收益率为</w:t>
      </w:r>
      <w:r>
        <w:t xml:space="preserve"> 12%</w:t>
      </w:r>
      <w:r>
        <w:t>，方差为</w:t>
      </w:r>
      <w:r>
        <w:t xml:space="preserve"> 0.04 </w:t>
      </w:r>
      <w:r>
        <w:t>的风险资产，</w:t>
      </w:r>
    </w:p>
    <w:p w14:paraId="6A17A17E" w14:textId="755FB908" w:rsidR="00A96FF3" w:rsidRDefault="006E2787">
      <w:pPr>
        <w:pStyle w:val="a3"/>
        <w:spacing w:before="231" w:line="381" w:lineRule="auto"/>
        <w:ind w:left="480" w:right="277"/>
      </w:pPr>
      <w:r>
        <w:t>30%</w:t>
      </w:r>
      <w:r>
        <w:t>的财富投资于收益率为</w:t>
      </w:r>
      <w:r>
        <w:t xml:space="preserve"> 5%</w:t>
      </w:r>
      <w:r>
        <w:t>的国库券。该投资者所构建投资组合的期望收益率和标准差分别是？</w:t>
      </w:r>
    </w:p>
    <w:p w14:paraId="744A529A" w14:textId="626234FB" w:rsidR="00581FA8" w:rsidRDefault="00581FA8">
      <w:pPr>
        <w:pStyle w:val="a3"/>
        <w:spacing w:before="231" w:line="381" w:lineRule="auto"/>
        <w:ind w:left="480" w:right="277"/>
      </w:pPr>
      <w:r>
        <w:rPr>
          <w:rFonts w:hint="eastAsia"/>
        </w:rPr>
        <w:t>解：</w:t>
      </w:r>
    </w:p>
    <w:p w14:paraId="6C975E04" w14:textId="37B834D1" w:rsidR="00581FA8" w:rsidRDefault="00581FA8">
      <w:pPr>
        <w:pStyle w:val="a3"/>
        <w:spacing w:before="231" w:line="381" w:lineRule="auto"/>
        <w:ind w:left="480" w:right="277"/>
      </w:pPr>
      <w:r>
        <w:rPr>
          <w:rFonts w:hint="eastAsia"/>
        </w:rPr>
        <w:t>期望收益率为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=0.7*0.12+0.3*0.05=9.99%</m:t>
        </m:r>
      </m:oMath>
    </w:p>
    <w:p w14:paraId="30CEF6F7" w14:textId="7ACB26EB" w:rsidR="00C168AF" w:rsidRDefault="00C168AF">
      <w:pPr>
        <w:pStyle w:val="a3"/>
        <w:spacing w:before="231" w:line="381" w:lineRule="auto"/>
        <w:ind w:left="480" w:right="277"/>
        <w:rPr>
          <w:rFonts w:hint="eastAsia"/>
        </w:rPr>
      </w:pPr>
      <w:r>
        <w:rPr>
          <w:rFonts w:hint="eastAsia"/>
        </w:rPr>
        <w:t>标准差为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*0.04+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*0</m:t>
            </m:r>
          </m:e>
        </m:rad>
        <m:r>
          <w:rPr>
            <w:rFonts w:ascii="Cambria Math" w:hAnsi="Cambria Math"/>
          </w:rPr>
          <m:t>=0.14</m:t>
        </m:r>
      </m:oMath>
    </w:p>
    <w:p w14:paraId="279B4D12" w14:textId="77777777" w:rsidR="00A96FF3" w:rsidRDefault="00A96FF3">
      <w:pPr>
        <w:pStyle w:val="a3"/>
        <w:spacing w:before="13"/>
        <w:rPr>
          <w:sz w:val="37"/>
        </w:rPr>
      </w:pPr>
    </w:p>
    <w:p w14:paraId="0BE86D68" w14:textId="77777777" w:rsidR="00A96FF3" w:rsidRDefault="006E2787">
      <w:pPr>
        <w:pStyle w:val="a3"/>
        <w:spacing w:line="381" w:lineRule="auto"/>
        <w:ind w:left="480" w:right="343" w:hanging="360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37B550" wp14:editId="1133A46B">
            <wp:simplePos x="0" y="0"/>
            <wp:positionH relativeFrom="page">
              <wp:posOffset>1356555</wp:posOffset>
            </wp:positionH>
            <wp:positionV relativeFrom="paragraph">
              <wp:posOffset>852430</wp:posOffset>
            </wp:positionV>
            <wp:extent cx="5031480" cy="13390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48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  <w:r>
        <w:t>、根据</w:t>
      </w:r>
      <w:r>
        <w:t xml:space="preserve"> CAPM </w:t>
      </w:r>
      <w:r>
        <w:t>模型中的风险和收益关系，把下表补充完整，并写出必要的计算步骤。</w:t>
      </w:r>
    </w:p>
    <w:p w14:paraId="6EB9D54B" w14:textId="39D95F15" w:rsidR="00A96FF3" w:rsidRPr="009C0689" w:rsidRDefault="009C0689">
      <w:pPr>
        <w:pStyle w:val="a3"/>
      </w:pPr>
      <w:r w:rsidRPr="009C0689">
        <w:rPr>
          <w:rFonts w:hint="eastAsia"/>
        </w:rPr>
        <w:t>根据D，得知无风险利率为0</w:t>
      </w:r>
      <w:r w:rsidRPr="009C0689">
        <w:t>.07</w:t>
      </w:r>
      <w:r>
        <w:rPr>
          <w:rFonts w:hint="eastAsia"/>
        </w:rPr>
        <w:t>，则</w:t>
      </w:r>
      <w:r w:rsidR="006C6C6A">
        <w:rPr>
          <w:rFonts w:hint="eastAsia"/>
        </w:rPr>
        <w:t>根据B，</w:t>
      </w:r>
      <m:oMath>
        <m:r>
          <w:rPr>
            <w:rFonts w:ascii="Cambria Math" w:hAnsi="Cambria Math"/>
          </w:rPr>
          <m:t>0.19=0.07+1.5*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-0.07</m:t>
            </m:r>
          </m:e>
        </m:d>
      </m:oMath>
      <w:r w:rsidR="006C6C6A">
        <w:rPr>
          <w:rFonts w:hint="eastAsia"/>
        </w:rPr>
        <w:t>，得市场上的平均预期收益率为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=0.15</m:t>
        </m:r>
      </m:oMath>
      <w:r w:rsidR="006C6C6A">
        <w:rPr>
          <w:rFonts w:hint="eastAsia"/>
        </w:rPr>
        <w:t>，</w:t>
      </w:r>
      <w:r w:rsidR="00E63ED6">
        <w:rPr>
          <w:rFonts w:hint="eastAsia"/>
        </w:rPr>
        <w:t>根据C，系统性风险为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0.12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=0.0144</m:t>
        </m:r>
      </m:oMath>
      <w:r w:rsidR="00E63ED6">
        <w:rPr>
          <w:rFonts w:hint="eastAsia"/>
        </w:rPr>
        <w:t>，</w:t>
      </w:r>
      <w:proofErr w:type="gramStart"/>
      <w:r w:rsidR="00E63ED6">
        <w:rPr>
          <w:rFonts w:hint="eastAsia"/>
        </w:rPr>
        <w:t>故得到全表</w:t>
      </w:r>
      <w:proofErr w:type="gramEnd"/>
      <w:r w:rsidR="00E63ED6">
        <w:rPr>
          <w:rFonts w:hint="eastAsia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0"/>
        <w:gridCol w:w="1080"/>
        <w:gridCol w:w="880"/>
        <w:gridCol w:w="1560"/>
        <w:gridCol w:w="1320"/>
      </w:tblGrid>
      <w:tr w:rsidR="00E63ED6" w:rsidRPr="00E63ED6" w14:paraId="7C3CB4F9" w14:textId="77777777" w:rsidTr="00E63ED6">
        <w:trPr>
          <w:trHeight w:val="285"/>
        </w:trPr>
        <w:tc>
          <w:tcPr>
            <w:tcW w:w="640" w:type="dxa"/>
            <w:noWrap/>
            <w:hideMark/>
          </w:tcPr>
          <w:p w14:paraId="4F30E151" w14:textId="77777777" w:rsidR="00E63ED6" w:rsidRPr="00E63ED6" w:rsidRDefault="00E63ED6" w:rsidP="00E63ED6">
            <w:pPr>
              <w:pStyle w:val="a3"/>
              <w:spacing w:before="2"/>
              <w:rPr>
                <w:lang w:val="en-US"/>
              </w:rPr>
            </w:pPr>
            <w:r w:rsidRPr="00E63ED6">
              <w:rPr>
                <w:rFonts w:hint="eastAsia"/>
              </w:rPr>
              <w:t>证券</w:t>
            </w:r>
          </w:p>
        </w:tc>
        <w:tc>
          <w:tcPr>
            <w:tcW w:w="1080" w:type="dxa"/>
            <w:noWrap/>
            <w:hideMark/>
          </w:tcPr>
          <w:p w14:paraId="2140CB47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预期收益</w:t>
            </w:r>
          </w:p>
        </w:tc>
        <w:tc>
          <w:tcPr>
            <w:tcW w:w="880" w:type="dxa"/>
            <w:noWrap/>
            <w:hideMark/>
          </w:tcPr>
          <w:p w14:paraId="4DC31704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β值</w:t>
            </w:r>
          </w:p>
        </w:tc>
        <w:tc>
          <w:tcPr>
            <w:tcW w:w="1560" w:type="dxa"/>
            <w:noWrap/>
            <w:hideMark/>
          </w:tcPr>
          <w:p w14:paraId="5056E572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收益率标准差</w:t>
            </w:r>
          </w:p>
        </w:tc>
        <w:tc>
          <w:tcPr>
            <w:tcW w:w="1320" w:type="dxa"/>
            <w:noWrap/>
            <w:hideMark/>
          </w:tcPr>
          <w:p w14:paraId="30AD1CF5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非系统风险</w:t>
            </w:r>
          </w:p>
        </w:tc>
      </w:tr>
      <w:tr w:rsidR="00E63ED6" w:rsidRPr="00E63ED6" w14:paraId="6E8700A3" w14:textId="77777777" w:rsidTr="00E63ED6">
        <w:trPr>
          <w:trHeight w:val="285"/>
        </w:trPr>
        <w:tc>
          <w:tcPr>
            <w:tcW w:w="640" w:type="dxa"/>
            <w:noWrap/>
            <w:hideMark/>
          </w:tcPr>
          <w:p w14:paraId="3FF7A9B8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14:paraId="1B36DC07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0.134</w:t>
            </w:r>
          </w:p>
        </w:tc>
        <w:tc>
          <w:tcPr>
            <w:tcW w:w="880" w:type="dxa"/>
            <w:noWrap/>
            <w:hideMark/>
          </w:tcPr>
          <w:p w14:paraId="22A3A667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0.8</w:t>
            </w:r>
          </w:p>
        </w:tc>
        <w:tc>
          <w:tcPr>
            <w:tcW w:w="1560" w:type="dxa"/>
            <w:noWrap/>
            <w:hideMark/>
          </w:tcPr>
          <w:p w14:paraId="7B33772F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0.15</w:t>
            </w:r>
          </w:p>
        </w:tc>
        <w:tc>
          <w:tcPr>
            <w:tcW w:w="1320" w:type="dxa"/>
            <w:noWrap/>
            <w:hideMark/>
          </w:tcPr>
          <w:p w14:paraId="00704801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0.0081</w:t>
            </w:r>
          </w:p>
        </w:tc>
      </w:tr>
      <w:tr w:rsidR="00E63ED6" w:rsidRPr="00E63ED6" w14:paraId="19364661" w14:textId="77777777" w:rsidTr="00E63ED6">
        <w:trPr>
          <w:trHeight w:val="285"/>
        </w:trPr>
        <w:tc>
          <w:tcPr>
            <w:tcW w:w="640" w:type="dxa"/>
            <w:noWrap/>
            <w:hideMark/>
          </w:tcPr>
          <w:p w14:paraId="4C3068D9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B</w:t>
            </w:r>
          </w:p>
        </w:tc>
        <w:tc>
          <w:tcPr>
            <w:tcW w:w="1080" w:type="dxa"/>
            <w:noWrap/>
            <w:hideMark/>
          </w:tcPr>
          <w:p w14:paraId="783326F8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0.19</w:t>
            </w:r>
          </w:p>
        </w:tc>
        <w:tc>
          <w:tcPr>
            <w:tcW w:w="880" w:type="dxa"/>
            <w:noWrap/>
            <w:hideMark/>
          </w:tcPr>
          <w:p w14:paraId="5D6AE5A3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1.5</w:t>
            </w:r>
          </w:p>
        </w:tc>
        <w:tc>
          <w:tcPr>
            <w:tcW w:w="1560" w:type="dxa"/>
            <w:noWrap/>
            <w:hideMark/>
          </w:tcPr>
          <w:p w14:paraId="68F88DA2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0.13</w:t>
            </w:r>
          </w:p>
        </w:tc>
        <w:tc>
          <w:tcPr>
            <w:tcW w:w="1320" w:type="dxa"/>
            <w:noWrap/>
            <w:hideMark/>
          </w:tcPr>
          <w:p w14:paraId="225E5D84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0.0036</w:t>
            </w:r>
          </w:p>
        </w:tc>
      </w:tr>
      <w:tr w:rsidR="00E63ED6" w:rsidRPr="00E63ED6" w14:paraId="6EFA9B00" w14:textId="77777777" w:rsidTr="00E63ED6">
        <w:trPr>
          <w:trHeight w:val="285"/>
        </w:trPr>
        <w:tc>
          <w:tcPr>
            <w:tcW w:w="640" w:type="dxa"/>
            <w:noWrap/>
            <w:hideMark/>
          </w:tcPr>
          <w:p w14:paraId="5236BE45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14:paraId="192E3E67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0.15</w:t>
            </w:r>
          </w:p>
        </w:tc>
        <w:tc>
          <w:tcPr>
            <w:tcW w:w="880" w:type="dxa"/>
            <w:noWrap/>
            <w:hideMark/>
          </w:tcPr>
          <w:p w14:paraId="1E1CA706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1</w:t>
            </w:r>
          </w:p>
        </w:tc>
        <w:tc>
          <w:tcPr>
            <w:tcW w:w="1560" w:type="dxa"/>
            <w:noWrap/>
            <w:hideMark/>
          </w:tcPr>
          <w:p w14:paraId="4C404E19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0.12</w:t>
            </w:r>
          </w:p>
        </w:tc>
        <w:tc>
          <w:tcPr>
            <w:tcW w:w="1320" w:type="dxa"/>
            <w:noWrap/>
            <w:hideMark/>
          </w:tcPr>
          <w:p w14:paraId="5A00E268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</w:t>
            </w:r>
          </w:p>
        </w:tc>
      </w:tr>
      <w:tr w:rsidR="00E63ED6" w:rsidRPr="00E63ED6" w14:paraId="5DC67B58" w14:textId="77777777" w:rsidTr="00E63ED6">
        <w:trPr>
          <w:trHeight w:val="285"/>
        </w:trPr>
        <w:tc>
          <w:tcPr>
            <w:tcW w:w="640" w:type="dxa"/>
            <w:noWrap/>
            <w:hideMark/>
          </w:tcPr>
          <w:p w14:paraId="1F194C6F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14:paraId="2895F480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0.07</w:t>
            </w:r>
          </w:p>
        </w:tc>
        <w:tc>
          <w:tcPr>
            <w:tcW w:w="880" w:type="dxa"/>
            <w:noWrap/>
            <w:hideMark/>
          </w:tcPr>
          <w:p w14:paraId="1BD1927E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</w:t>
            </w:r>
          </w:p>
        </w:tc>
        <w:tc>
          <w:tcPr>
            <w:tcW w:w="1560" w:type="dxa"/>
            <w:noWrap/>
            <w:hideMark/>
          </w:tcPr>
          <w:p w14:paraId="51EDA3E5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</w:t>
            </w:r>
          </w:p>
        </w:tc>
        <w:tc>
          <w:tcPr>
            <w:tcW w:w="1320" w:type="dxa"/>
            <w:noWrap/>
            <w:hideMark/>
          </w:tcPr>
          <w:p w14:paraId="24B563E8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</w:t>
            </w:r>
          </w:p>
        </w:tc>
      </w:tr>
      <w:tr w:rsidR="00E63ED6" w:rsidRPr="00E63ED6" w14:paraId="76999323" w14:textId="77777777" w:rsidTr="00E63ED6">
        <w:trPr>
          <w:trHeight w:val="285"/>
        </w:trPr>
        <w:tc>
          <w:tcPr>
            <w:tcW w:w="640" w:type="dxa"/>
            <w:noWrap/>
            <w:hideMark/>
          </w:tcPr>
          <w:p w14:paraId="2276C46C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14:paraId="415A3AD3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0.166</w:t>
            </w:r>
          </w:p>
        </w:tc>
        <w:tc>
          <w:tcPr>
            <w:tcW w:w="880" w:type="dxa"/>
            <w:noWrap/>
            <w:hideMark/>
          </w:tcPr>
          <w:p w14:paraId="3D8F9774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1.2</w:t>
            </w:r>
          </w:p>
        </w:tc>
        <w:tc>
          <w:tcPr>
            <w:tcW w:w="1560" w:type="dxa"/>
            <w:noWrap/>
            <w:hideMark/>
          </w:tcPr>
          <w:p w14:paraId="48B21F12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0.15</w:t>
            </w:r>
          </w:p>
        </w:tc>
        <w:tc>
          <w:tcPr>
            <w:tcW w:w="1320" w:type="dxa"/>
            <w:noWrap/>
            <w:hideMark/>
          </w:tcPr>
          <w:p w14:paraId="745EDEE3" w14:textId="77777777" w:rsidR="00E63ED6" w:rsidRPr="00E63ED6" w:rsidRDefault="00E63ED6" w:rsidP="00E63ED6">
            <w:pPr>
              <w:pStyle w:val="a3"/>
              <w:spacing w:before="2"/>
              <w:rPr>
                <w:rFonts w:hint="eastAsia"/>
              </w:rPr>
            </w:pPr>
            <w:r w:rsidRPr="00E63ED6">
              <w:rPr>
                <w:rFonts w:hint="eastAsia"/>
              </w:rPr>
              <w:t>0.0081</w:t>
            </w:r>
          </w:p>
        </w:tc>
      </w:tr>
    </w:tbl>
    <w:p w14:paraId="6A388605" w14:textId="77777777" w:rsidR="00A96FF3" w:rsidRDefault="00A96FF3">
      <w:pPr>
        <w:pStyle w:val="a3"/>
        <w:spacing w:before="2"/>
      </w:pPr>
    </w:p>
    <w:p w14:paraId="157A5DB0" w14:textId="77777777" w:rsidR="00A96FF3" w:rsidRDefault="006E2787">
      <w:pPr>
        <w:pStyle w:val="a3"/>
        <w:spacing w:line="381" w:lineRule="auto"/>
        <w:ind w:left="480" w:right="336" w:hanging="360"/>
        <w:jc w:val="both"/>
      </w:pPr>
      <w:r>
        <w:t>4</w:t>
      </w:r>
      <w:r>
        <w:t>、考虑一个期望收益率为</w:t>
      </w:r>
      <w:r>
        <w:t xml:space="preserve"> 20%</w:t>
      </w:r>
      <w:r>
        <w:t>的证券组合。无风险资产的收益率为</w:t>
      </w:r>
      <w:r>
        <w:t xml:space="preserve"> 8%</w:t>
      </w:r>
      <w:r>
        <w:t>。市场组合的期望收益率为</w:t>
      </w:r>
      <w:r>
        <w:t xml:space="preserve"> 13%</w:t>
      </w:r>
      <w:r>
        <w:t>，标准差为</w:t>
      </w:r>
      <w:r>
        <w:t xml:space="preserve"> 0.25</w:t>
      </w:r>
      <w:r>
        <w:t>。设该组合是有效组合，请计算它的：</w:t>
      </w:r>
    </w:p>
    <w:p w14:paraId="1268E3AF" w14:textId="77777777" w:rsidR="00A96FF3" w:rsidRDefault="006E2787">
      <w:pPr>
        <w:pStyle w:val="a4"/>
        <w:numPr>
          <w:ilvl w:val="0"/>
          <w:numId w:val="1"/>
        </w:numPr>
        <w:tabs>
          <w:tab w:val="left" w:pos="588"/>
        </w:tabs>
        <w:spacing w:line="388" w:lineRule="exact"/>
        <w:jc w:val="both"/>
        <w:rPr>
          <w:sz w:val="24"/>
        </w:rPr>
      </w:pPr>
      <w:r>
        <w:rPr>
          <w:sz w:val="24"/>
        </w:rPr>
        <w:t>beta</w:t>
      </w:r>
      <w:r>
        <w:rPr>
          <w:sz w:val="24"/>
        </w:rPr>
        <w:t>；</w:t>
      </w:r>
    </w:p>
    <w:p w14:paraId="5CF373A2" w14:textId="77777777" w:rsidR="00A96FF3" w:rsidRDefault="006E2787">
      <w:pPr>
        <w:pStyle w:val="a4"/>
        <w:numPr>
          <w:ilvl w:val="0"/>
          <w:numId w:val="1"/>
        </w:numPr>
        <w:tabs>
          <w:tab w:val="left" w:pos="673"/>
        </w:tabs>
        <w:spacing w:before="231"/>
        <w:ind w:left="672" w:hanging="313"/>
        <w:jc w:val="both"/>
        <w:rPr>
          <w:sz w:val="24"/>
        </w:rPr>
      </w:pPr>
      <w:r>
        <w:rPr>
          <w:sz w:val="24"/>
        </w:rPr>
        <w:t>收益率的标准差；</w:t>
      </w:r>
    </w:p>
    <w:p w14:paraId="02A7FD80" w14:textId="77777777" w:rsidR="00A96FF3" w:rsidRDefault="006E2787">
      <w:pPr>
        <w:pStyle w:val="a4"/>
        <w:numPr>
          <w:ilvl w:val="0"/>
          <w:numId w:val="1"/>
        </w:numPr>
        <w:tabs>
          <w:tab w:val="left" w:pos="650"/>
        </w:tabs>
        <w:spacing w:before="230"/>
        <w:ind w:left="649" w:hanging="290"/>
        <w:rPr>
          <w:sz w:val="24"/>
        </w:rPr>
      </w:pPr>
      <w:r>
        <w:rPr>
          <w:sz w:val="24"/>
        </w:rPr>
        <w:t>与市场组合收益率的相关系数。</w:t>
      </w:r>
    </w:p>
    <w:p w14:paraId="01B4BD58" w14:textId="7D0752AB" w:rsidR="00A96FF3" w:rsidRDefault="008A09E3">
      <w:pPr>
        <w:pStyle w:val="a3"/>
        <w:rPr>
          <w:sz w:val="30"/>
        </w:rPr>
      </w:pPr>
      <w:r>
        <w:rPr>
          <w:rFonts w:hint="eastAsia"/>
          <w:sz w:val="30"/>
        </w:rPr>
        <w:t>解：</w:t>
      </w:r>
    </w:p>
    <w:p w14:paraId="0DD08209" w14:textId="7D0BFEAF" w:rsidR="00A96FF3" w:rsidRPr="008A09E3" w:rsidRDefault="008A09E3">
      <w:pPr>
        <w:pStyle w:val="a3"/>
        <w:spacing w:before="2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0.2=0.08+β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0.13-0.08</m:t>
              </m:r>
            </m:e>
          </m:d>
        </m:oMath>
      </m:oMathPara>
    </w:p>
    <w:p w14:paraId="5036822C" w14:textId="37FC6F08" w:rsidR="008A09E3" w:rsidRDefault="008A09E3">
      <w:pPr>
        <w:pStyle w:val="a3"/>
        <w:spacing w:before="2"/>
        <w:rPr>
          <w:sz w:val="22"/>
        </w:rPr>
      </w:pPr>
      <w:r>
        <w:rPr>
          <w:rFonts w:hint="eastAsia"/>
          <w:sz w:val="22"/>
        </w:rPr>
        <w:t>得</w:t>
      </w:r>
    </w:p>
    <w:p w14:paraId="6A3C55DA" w14:textId="5A81B129" w:rsidR="008A09E3" w:rsidRPr="008A09E3" w:rsidRDefault="008A09E3">
      <w:pPr>
        <w:pStyle w:val="a3"/>
        <w:spacing w:before="2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β=2.4</m:t>
          </m:r>
        </m:oMath>
      </m:oMathPara>
    </w:p>
    <w:p w14:paraId="3C7655ED" w14:textId="5869CAF0" w:rsidR="008A09E3" w:rsidRPr="00F364AD" w:rsidRDefault="008A09E3">
      <w:pPr>
        <w:pStyle w:val="a3"/>
        <w:spacing w:before="2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</w:rPr>
            <m:t>=0.6</m:t>
          </m:r>
        </m:oMath>
      </m:oMathPara>
    </w:p>
    <w:p w14:paraId="6D9B4468" w14:textId="1E64BF28" w:rsidR="00F364AD" w:rsidRDefault="00F364AD">
      <w:pPr>
        <w:pStyle w:val="a3"/>
        <w:spacing w:before="2"/>
        <w:rPr>
          <w:sz w:val="22"/>
        </w:rPr>
      </w:pPr>
      <w:r>
        <w:rPr>
          <w:rFonts w:hint="eastAsia"/>
          <w:sz w:val="22"/>
        </w:rPr>
        <w:t>相关系数</w:t>
      </w:r>
    </w:p>
    <w:p w14:paraId="1A062199" w14:textId="0C88FC3D" w:rsidR="00F364AD" w:rsidRPr="008A09E3" w:rsidRDefault="00F364AD">
      <w:pPr>
        <w:pStyle w:val="a3"/>
        <w:spacing w:before="2"/>
        <w:rPr>
          <w:rFonts w:hint="eastAsia"/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β*0.25</m:t>
              </m:r>
            </m:num>
            <m:den>
              <m:r>
                <w:rPr>
                  <w:rFonts w:ascii="Cambria Math" w:hAnsi="Cambria Math"/>
                  <w:sz w:val="22"/>
                </w:rPr>
                <m:t>σ</m:t>
              </m:r>
            </m:den>
          </m:f>
          <m:r>
            <w:rPr>
              <w:rFonts w:ascii="Cambria Math" w:hAnsi="Cambria Math"/>
              <w:sz w:val="22"/>
            </w:rPr>
            <m:t>=1</m:t>
          </m:r>
        </m:oMath>
      </m:oMathPara>
    </w:p>
    <w:p w14:paraId="13194C10" w14:textId="23CF335C" w:rsidR="00A96FF3" w:rsidRDefault="006E2787">
      <w:pPr>
        <w:pStyle w:val="a3"/>
        <w:spacing w:line="381" w:lineRule="auto"/>
        <w:ind w:left="480" w:right="99" w:hanging="360"/>
      </w:pPr>
      <w:r>
        <w:t>5</w:t>
      </w:r>
      <w:r>
        <w:t>、假设一个公司的资本结构有</w:t>
      </w:r>
      <w:r>
        <w:t xml:space="preserve"> 2000 </w:t>
      </w:r>
      <w:r>
        <w:t>万的股权资本和</w:t>
      </w:r>
      <w:r>
        <w:t xml:space="preserve"> 3000 </w:t>
      </w:r>
      <w:r>
        <w:t>万的债权资本构成，</w:t>
      </w:r>
      <w:r>
        <w:t xml:space="preserve"> </w:t>
      </w:r>
      <w:r>
        <w:t>该公司股权资本的融资成本是</w:t>
      </w:r>
      <w:r>
        <w:t xml:space="preserve">  15%</w:t>
      </w:r>
      <w:r>
        <w:t>，债权资本的融资成本是</w:t>
      </w:r>
      <w:r>
        <w:t xml:space="preserve">  5%</w:t>
      </w:r>
      <w:r>
        <w:t>，同时假设该公司适用的税率是</w:t>
      </w:r>
      <w:r>
        <w:t xml:space="preserve"> 40%</w:t>
      </w:r>
      <w:r>
        <w:t>，那么该公司的加权资本成本是多少？</w:t>
      </w:r>
    </w:p>
    <w:p w14:paraId="5EF218A7" w14:textId="136930A7" w:rsidR="006E2787" w:rsidRDefault="006E2787">
      <w:pPr>
        <w:pStyle w:val="a3"/>
        <w:spacing w:line="381" w:lineRule="auto"/>
        <w:ind w:left="480" w:right="99" w:hanging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WACC=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w:rPr>
                  <w:rFonts w:ascii="Cambria Math" w:hAnsi="Cambria Math"/>
                </w:rPr>
                <m:t>2000+3000</m:t>
              </m:r>
            </m:den>
          </m:f>
          <m:r>
            <w:rPr>
              <w:rFonts w:ascii="Cambria Math" w:hAnsi="Cambria Math"/>
            </w:rPr>
            <m:t>×0.15+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hAnsi="Cambria Math"/>
                </w:rPr>
                <m:t>2000+3000</m:t>
              </m:r>
            </m:den>
          </m:f>
          <m:r>
            <w:rPr>
              <w:rFonts w:ascii="Cambria Math" w:hAnsi="Cambria Math"/>
            </w:rPr>
            <m:t>×0.05×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1-0.4</m:t>
              </m:r>
            </m:e>
          </m:d>
          <m:r>
            <w:rPr>
              <w:rFonts w:ascii="Cambria Math" w:hAnsi="Cambria Math"/>
            </w:rPr>
            <m:t>=7.8%</m:t>
          </m:r>
        </m:oMath>
      </m:oMathPara>
    </w:p>
    <w:sectPr w:rsidR="006E2787">
      <w:pgSz w:w="11910" w:h="16840"/>
      <w:pgMar w:top="1580" w:right="1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9CD"/>
    <w:multiLevelType w:val="hybridMultilevel"/>
    <w:tmpl w:val="92CAF2D0"/>
    <w:lvl w:ilvl="0" w:tplc="A814737C">
      <w:start w:val="1"/>
      <w:numFmt w:val="lowerLetter"/>
      <w:lvlText w:val="%1)"/>
      <w:lvlJc w:val="left"/>
      <w:pPr>
        <w:ind w:left="587" w:hanging="228"/>
        <w:jc w:val="left"/>
      </w:pPr>
      <w:rPr>
        <w:rFonts w:ascii="华文仿宋" w:eastAsia="华文仿宋" w:hAnsi="华文仿宋" w:cs="华文仿宋" w:hint="default"/>
        <w:spacing w:val="-1"/>
        <w:w w:val="100"/>
        <w:sz w:val="24"/>
        <w:szCs w:val="24"/>
        <w:lang w:val="zh-CN" w:eastAsia="zh-CN" w:bidi="zh-CN"/>
      </w:rPr>
    </w:lvl>
    <w:lvl w:ilvl="1" w:tplc="DCB23F40">
      <w:numFmt w:val="bullet"/>
      <w:lvlText w:val="•"/>
      <w:lvlJc w:val="left"/>
      <w:pPr>
        <w:ind w:left="1398" w:hanging="228"/>
      </w:pPr>
      <w:rPr>
        <w:rFonts w:hint="default"/>
        <w:lang w:val="zh-CN" w:eastAsia="zh-CN" w:bidi="zh-CN"/>
      </w:rPr>
    </w:lvl>
    <w:lvl w:ilvl="2" w:tplc="EAA8E550">
      <w:numFmt w:val="bullet"/>
      <w:lvlText w:val="•"/>
      <w:lvlJc w:val="left"/>
      <w:pPr>
        <w:ind w:left="2217" w:hanging="228"/>
      </w:pPr>
      <w:rPr>
        <w:rFonts w:hint="default"/>
        <w:lang w:val="zh-CN" w:eastAsia="zh-CN" w:bidi="zh-CN"/>
      </w:rPr>
    </w:lvl>
    <w:lvl w:ilvl="3" w:tplc="CDBE84C4">
      <w:numFmt w:val="bullet"/>
      <w:lvlText w:val="•"/>
      <w:lvlJc w:val="left"/>
      <w:pPr>
        <w:ind w:left="3035" w:hanging="228"/>
      </w:pPr>
      <w:rPr>
        <w:rFonts w:hint="default"/>
        <w:lang w:val="zh-CN" w:eastAsia="zh-CN" w:bidi="zh-CN"/>
      </w:rPr>
    </w:lvl>
    <w:lvl w:ilvl="4" w:tplc="D08633A2">
      <w:numFmt w:val="bullet"/>
      <w:lvlText w:val="•"/>
      <w:lvlJc w:val="left"/>
      <w:pPr>
        <w:ind w:left="3854" w:hanging="228"/>
      </w:pPr>
      <w:rPr>
        <w:rFonts w:hint="default"/>
        <w:lang w:val="zh-CN" w:eastAsia="zh-CN" w:bidi="zh-CN"/>
      </w:rPr>
    </w:lvl>
    <w:lvl w:ilvl="5" w:tplc="55B698F8">
      <w:numFmt w:val="bullet"/>
      <w:lvlText w:val="•"/>
      <w:lvlJc w:val="left"/>
      <w:pPr>
        <w:ind w:left="4673" w:hanging="228"/>
      </w:pPr>
      <w:rPr>
        <w:rFonts w:hint="default"/>
        <w:lang w:val="zh-CN" w:eastAsia="zh-CN" w:bidi="zh-CN"/>
      </w:rPr>
    </w:lvl>
    <w:lvl w:ilvl="6" w:tplc="ECC874AC">
      <w:numFmt w:val="bullet"/>
      <w:lvlText w:val="•"/>
      <w:lvlJc w:val="left"/>
      <w:pPr>
        <w:ind w:left="5491" w:hanging="228"/>
      </w:pPr>
      <w:rPr>
        <w:rFonts w:hint="default"/>
        <w:lang w:val="zh-CN" w:eastAsia="zh-CN" w:bidi="zh-CN"/>
      </w:rPr>
    </w:lvl>
    <w:lvl w:ilvl="7" w:tplc="831897D2">
      <w:numFmt w:val="bullet"/>
      <w:lvlText w:val="•"/>
      <w:lvlJc w:val="left"/>
      <w:pPr>
        <w:ind w:left="6310" w:hanging="228"/>
      </w:pPr>
      <w:rPr>
        <w:rFonts w:hint="default"/>
        <w:lang w:val="zh-CN" w:eastAsia="zh-CN" w:bidi="zh-CN"/>
      </w:rPr>
    </w:lvl>
    <w:lvl w:ilvl="8" w:tplc="E29C2C58">
      <w:numFmt w:val="bullet"/>
      <w:lvlText w:val="•"/>
      <w:lvlJc w:val="left"/>
      <w:pPr>
        <w:ind w:left="7129" w:hanging="228"/>
      </w:pPr>
      <w:rPr>
        <w:rFonts w:hint="default"/>
        <w:lang w:val="zh-CN" w:eastAsia="zh-CN" w:bidi="zh-CN"/>
      </w:rPr>
    </w:lvl>
  </w:abstractNum>
  <w:num w:numId="1" w16cid:durableId="6651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FF3"/>
    <w:rsid w:val="00412AF7"/>
    <w:rsid w:val="00581FA8"/>
    <w:rsid w:val="006C6C6A"/>
    <w:rsid w:val="006E2787"/>
    <w:rsid w:val="008A09E3"/>
    <w:rsid w:val="009811D6"/>
    <w:rsid w:val="009C0689"/>
    <w:rsid w:val="00A96FF3"/>
    <w:rsid w:val="00B50CA5"/>
    <w:rsid w:val="00C168AF"/>
    <w:rsid w:val="00D33A11"/>
    <w:rsid w:val="00DB5022"/>
    <w:rsid w:val="00E63ED6"/>
    <w:rsid w:val="00F364AD"/>
    <w:rsid w:val="00F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6FFD"/>
  <w15:docId w15:val="{AE71941F-48C4-4584-A991-6D36509E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华文仿宋" w:eastAsia="华文仿宋" w:hAnsi="华文仿宋" w:cs="华文仿宋"/>
      <w:lang w:val="zh-CN" w:eastAsia="zh-CN" w:bidi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87" w:hanging="313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DB5022"/>
    <w:rPr>
      <w:color w:val="808080"/>
    </w:rPr>
  </w:style>
  <w:style w:type="table" w:styleId="a6">
    <w:name w:val="Table Grid"/>
    <w:basedOn w:val="a1"/>
    <w:uiPriority w:val="39"/>
    <w:rsid w:val="00E63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铭宇</dc:creator>
  <cp:lastModifiedBy>崔 晏菲</cp:lastModifiedBy>
  <cp:revision>3</cp:revision>
  <dcterms:created xsi:type="dcterms:W3CDTF">2022-04-06T11:16:00Z</dcterms:created>
  <dcterms:modified xsi:type="dcterms:W3CDTF">2022-04-06T13:18:00Z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2022-04-06T00:00:00Z</vt:filetime>
  </property>
</Properties>
</file>