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招标控制价编制报告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招标控制价编制报告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招标控制价编制报告</w:t>
      </w:r>
    </w:p>
    <w:p>
      <w:r>
        <w:t>致：{委托单位}</w:t>
      </w:r>
    </w:p>
    <w:p>
      <w:r>
        <w:t>受贵方委托，我公司编制了{工程名称}招标控制价。建设单位对所提供资料的真实性、合法性、完整性负责。现将编制情况报告如下：</w:t>
      </w:r>
    </w:p>
    <w:p>
      <w:r>
        <w:rPr>
          <w:rFonts w:ascii="黑体" w:hAnsi="黑体" w:eastAsia="黑体"/>
          <w:b/>
        </w:rPr>
        <w:t>一、工程概况</w:t>
      </w:r>
    </w:p>
    <w:p>
      <w:r>
        <w:t>（一）工程概况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招标代理单位</w:t>
            </w:r>
          </w:p>
        </w:tc>
        <w:tc>
          <w:tcPr>
            <w:tcW w:type="dxa" w:w="4320"/>
          </w:tcPr>
          <w:p>
            <w:r>
              <w:t>{招标代理单位}</w:t>
            </w:r>
          </w:p>
        </w:tc>
      </w:tr>
      <w:tr>
        <w:tc>
          <w:tcPr>
            <w:tcW w:type="dxa" w:w="4320"/>
          </w:tcPr>
          <w:p>
            <w:r>
              <w:t>质量要求</w:t>
            </w:r>
          </w:p>
        </w:tc>
        <w:tc>
          <w:tcPr>
            <w:tcW w:type="dxa" w:w="4320"/>
          </w:tcPr>
          <w:p>
            <w:r>
              <w:t>{质量要求}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</w:tbl>
    <w:p>
      <w:r>
        <w:t>（二）工程范围及内容</w:t>
      </w:r>
    </w:p>
    <w:p>
      <w:r>
        <w:t>1. 工程承包范围：{工程承包范围}</w:t>
      </w:r>
    </w:p>
    <w:p>
      <w:r>
        <w:t>2. 不在本次范围内的内容：{工程非承包范围}</w:t>
      </w:r>
    </w:p>
    <w:p>
      <w:r>
        <w:rPr>
          <w:rFonts w:ascii="黑体" w:hAnsi="黑体" w:eastAsia="黑体"/>
          <w:b/>
        </w:rPr>
        <w:t>二、编制依据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【待补：以上未列而实际依据的招标文件及补遗答疑、施工图纸及图纸会审纪要、地质勘察报告、施工现场条件等，逐条补列；未依据的删去】</w:t>
      </w:r>
    </w:p>
    <w:p>
      <w:r>
        <w:rPr>
          <w:rFonts w:ascii="黑体" w:hAnsi="黑体" w:eastAsia="黑体"/>
          <w:b/>
        </w:rPr>
        <w:t>三、编制原则及办法</w:t>
      </w:r>
    </w:p>
    <w:p>
      <w:r>
        <w:t>1. 定额及取费：执行第二章第 3 项所列定额及取费依据；【待补：工程类别、取费档次及企业管理费、利润费率的取定口径】</w:t>
      </w:r>
    </w:p>
    <w:p>
      <w:r>
        <w:t>2. 人工、材料价格：【待补：采用的信息价期次（见第二章第 5 项）；信息价缺项材料的询价方式与询价期】</w:t>
      </w:r>
    </w:p>
    <w:p>
      <w:r>
        <w:t>3. 人工价格调整方式（招标文件约定）：{人工价格调整方式}</w:t>
      </w:r>
    </w:p>
    <w:p>
      <w:r>
        <w:t>4. 商品混凝土、水泥、钢材价格调整方式（招标文件约定）：{商品混凝土、水泥、钢材价格调整方式}</w:t>
      </w:r>
    </w:p>
    <w:p>
      <w:r>
        <w:t>5. 电线、电缆、母线价格调整方式（招标文件约定）：{电线、电缆、母线价格调整方式}</w:t>
      </w:r>
    </w:p>
    <w:p>
      <w:r>
        <w:t>6. 安全文明施工费、规费、税金：【待补：计取口径（不写金额）】</w:t>
      </w:r>
    </w:p>
    <w:p>
      <w:r>
        <w:rPr>
          <w:rFonts w:ascii="黑体" w:hAnsi="黑体" w:eastAsia="黑体"/>
          <w:b/>
        </w:rPr>
        <w:t>四、其他项目费</w:t>
      </w:r>
    </w:p>
    <w:p>
      <w:r>
        <w:t>1. 暂列金额、材料和工程设备暂估价：按招标文件列明的项目计列，具体项目见其他项目清单与计价汇总表。</w:t>
      </w:r>
    </w:p>
    <w:p>
      <w:r>
        <w:t>2. 总承包服务费：{总承包服务费}</w:t>
      </w:r>
    </w:p>
    <w:p>
      <w:r>
        <w:rPr>
          <w:rFonts w:ascii="黑体" w:hAnsi="黑体" w:eastAsia="黑体"/>
          <w:b/>
        </w:rPr>
        <w:t>五、有关事项说明</w:t>
      </w:r>
    </w:p>
    <w:p>
      <w:r>
        <w:t>（一）通用说明（清单共性部分）：{共性说明}</w:t>
      </w:r>
    </w:p>
    <w:p>
      <w:r>
        <w:t>（二）土建（建筑装饰）工程：{建筑装饰工程}</w:t>
      </w:r>
    </w:p>
    <w:p>
      <w:r>
        <w:t>（三）安装工程：{安装工程}</w:t>
      </w:r>
    </w:p>
    <w:p>
      <w:r>
        <w:t>（四）创优要求：{工程奖项的约定}</w:t>
      </w:r>
    </w:p>
    <w:p>
      <w:r>
        <w:t>（五）其他：【待补：招标文件中影响计价的其他约定（如甲供材料设备、专业工程暂估、材料品牌档次）；无则删去】</w:t>
      </w:r>
    </w:p>
    <w:p>
      <w:r>
        <w:rPr>
          <w:rFonts w:ascii="黑体" w:hAnsi="黑体" w:eastAsia="黑体"/>
          <w:b/>
        </w:rPr>
        <w:t>六、编制结果</w:t>
      </w:r>
    </w:p>
    <w:p>
      <w:r>
        <w:t>【待补：下表金额按计价软件导出的招标控制价汇总表填写（模板不预置任何金额），填毕删除本行】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金额（元，含税）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分部分项工程费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措施项目费（其中安全文明施工基本费）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其他项目费（暂列金额、暂估价、总承包服务费）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规费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税金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招标控制价（大写）：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{工程名称}招标控制价编制报告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招标控制价编制报告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