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AF5A36">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吉林省金坤百川生物工程有限公司是一家专注于生物高分子材料研发与生产的</w:t>
      </w:r>
      <w:r>
        <w:rPr>
          <w:rFonts w:hint="eastAsia" w:ascii="宋体" w:hAnsi="宋体" w:eastAsia="宋体" w:cs="宋体"/>
          <w:sz w:val="24"/>
          <w:szCs w:val="24"/>
          <w:lang w:val="en-US" w:eastAsia="zh-CN"/>
        </w:rPr>
        <w:t>科技型</w:t>
      </w:r>
      <w:r>
        <w:rPr>
          <w:rFonts w:hint="eastAsia" w:ascii="宋体" w:hAnsi="宋体" w:eastAsia="宋体" w:cs="宋体"/>
          <w:sz w:val="24"/>
          <w:szCs w:val="24"/>
        </w:rPr>
        <w:t>企业，公司以聚谷氨酸、普鲁兰多糖等绿色可降解生物材料为核心产品，致力于通过合成生物学技术与智能制造推动化工产业绿色转型，积极服务国家“双碳”战略目标</w:t>
      </w:r>
      <w:r>
        <w:rPr>
          <w:rFonts w:hint="eastAsia" w:ascii="宋体" w:hAnsi="宋体" w:eastAsia="宋体" w:cs="宋体"/>
          <w:sz w:val="24"/>
          <w:szCs w:val="24"/>
          <w:lang w:eastAsia="zh-CN"/>
        </w:rPr>
        <w:t>。</w:t>
      </w:r>
    </w:p>
    <w:p w14:paraId="4520487A">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公司创新构建</w:t>
      </w:r>
      <w:r>
        <w:rPr>
          <w:rFonts w:hint="eastAsia" w:ascii="宋体" w:hAnsi="宋体" w:eastAsia="宋体" w:cs="宋体"/>
          <w:sz w:val="24"/>
          <w:szCs w:val="24"/>
          <w:lang w:eastAsia="zh-CN"/>
        </w:rPr>
        <w:t>了</w:t>
      </w:r>
      <w:r>
        <w:rPr>
          <w:rFonts w:hint="eastAsia" w:ascii="宋体" w:hAnsi="宋体" w:eastAsia="宋体" w:cs="宋体"/>
          <w:sz w:val="24"/>
          <w:szCs w:val="24"/>
        </w:rPr>
        <w:t>“中试平台+生产基地”深度耦合模式，有效破解了传统中试环节“高投入、低复用”的行业痛点。该平台通过资源共享与数据互通，显著降低验证成本、缩短技术转化周期，并依托生产基地持续盈利反哺研发投入，形成“以产养研、自我造血”的良性循环，为合成生物学领域的产业化提供了可复制、可持续的创新范式。</w:t>
      </w:r>
    </w:p>
    <w:p w14:paraId="5F840974">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技术层面，公司集成人工智能与高光谱监测，实现对发酵过程的多参数实时调控，结合计算流体力学模拟与智能控制系统，保障工艺放大稳定高效。公司首创的膜集成耦合分离纯化技术体系，替代传统有机溶剂萃取工艺，杜绝溶剂残留，工艺整体达国际领先水平。同时，作为全球首家提出医用级聚谷氨酸概念的企业，公司牵头制定我国首个医美用聚谷氨酸团体标准，填补了生物医用材料标准空白。</w:t>
      </w:r>
    </w:p>
    <w:p w14:paraId="14DCCFE9">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公司</w:t>
      </w:r>
      <w:r>
        <w:rPr>
          <w:rFonts w:hint="eastAsia" w:ascii="宋体" w:hAnsi="宋体" w:eastAsia="宋体" w:cs="宋体"/>
          <w:sz w:val="24"/>
          <w:szCs w:val="24"/>
        </w:rPr>
        <w:t>高度契合国家绿色制造与生物经济发展战略，通过“技术输出—产品生产—服务支撑”三位一体的全产业链布局，建设4万平方米产业基地，配置先进发酵与检测设备，推动区域产业集群协同发展，为我国生物制造关键品种的规</w:t>
      </w:r>
      <w:bookmarkStart w:id="0" w:name="_GoBack"/>
      <w:bookmarkEnd w:id="0"/>
      <w:r>
        <w:rPr>
          <w:rFonts w:hint="eastAsia" w:ascii="宋体" w:hAnsi="宋体" w:eastAsia="宋体" w:cs="宋体"/>
          <w:sz w:val="24"/>
          <w:szCs w:val="24"/>
        </w:rPr>
        <w:t>模化应用与产业升级提供了重要支撑。</w:t>
      </w:r>
    </w:p>
    <w:p w14:paraId="00C2EA4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77200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2026-04-03T00:10:14Z</dcterms:created>
  <dc:creator>asus</dc:creator>
  <cp:lastModifiedBy>眯眼先生</cp:lastModifiedBy>
  <dcterms:modified xsi:type="dcterms:W3CDTF">2026-04-03T00:10:25Z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eyJoZGlkIjoiNzE3ZmJlYzdkOTU5NGFiZmUyNWQzY2UxNTU2M2QxNTUiLCJ1c2VySWQiOiI3MjQ5OTk5MTQifQ==</vt:lpwstr>
  </property>
  <property fmtid="{D5CDD505-2E9C-101B-9397-08002B2CF9AE}" pid="4" name="ICV">
    <vt:lpwstr>E231E56A9706430EB4B5514792C0B52B_12</vt:lpwstr>
  </property>
</Properties>
</file>