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spacing w:line="360" w:lineRule="auto"/>
        <w:ind w:right="964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医疗器械产品技术要求编号：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>
      <w:pPr>
        <w:pStyle w:val="20"/>
        <w:spacing w:line="360" w:lineRule="auto"/>
        <w:ind w:left="360" w:firstLine="0" w:firstLineChars="0"/>
        <w:jc w:val="center"/>
        <w:rPr>
          <w:rFonts w:hint="eastAsia" w:asciiTheme="minorEastAsia" w:hAnsiTheme="minorEastAsia" w:eastAsiaTheme="minorEastAsia" w:cstheme="minorEastAsia"/>
          <w:b/>
          <w:sz w:val="36"/>
          <w:szCs w:val="36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eastAsia="zh-CN"/>
        </w:rPr>
        <w:t>医用水胶体敷料</w:t>
      </w:r>
    </w:p>
    <w:p>
      <w:pPr>
        <w:pStyle w:val="20"/>
        <w:numPr>
          <w:ilvl w:val="0"/>
          <w:numId w:val="1"/>
        </w:numPr>
        <w:spacing w:line="360" w:lineRule="auto"/>
        <w:ind w:firstLineChars="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产品型号/规格及其划分说明</w:t>
      </w:r>
    </w:p>
    <w:p>
      <w:pPr>
        <w:pStyle w:val="20"/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1.1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产品型号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</w:rPr>
        <w:t>规格</w:t>
      </w:r>
    </w:p>
    <w:p>
      <w:pPr>
        <w:pStyle w:val="20"/>
        <w:spacing w:line="360" w:lineRule="auto"/>
        <w:ind w:left="0" w:leftChars="0" w:firstLine="480" w:firstLineChars="200"/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mg/瓶、10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50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mg/瓶、20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mg/瓶、24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mg/瓶、25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mg/瓶、30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mg/瓶、35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mg/瓶、40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50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50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0mg/瓶、5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50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mg/瓶、60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50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mg/瓶、70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mg/瓶、7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50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mg/瓶、80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mg/瓶、85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mg/瓶、90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mg/瓶、95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mg/瓶、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00mg/瓶。</w:t>
      </w:r>
    </w:p>
    <w:p>
      <w:pPr>
        <w:pStyle w:val="20"/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 划分说明</w:t>
      </w:r>
    </w:p>
    <w:p>
      <w:pPr>
        <w:pStyle w:val="20"/>
        <w:spacing w:line="360" w:lineRule="auto"/>
        <w:ind w:firstLine="480"/>
        <w:jc w:val="left"/>
        <w:rPr>
          <w:rFonts w:hint="default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产品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由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羧甲基纤维素钠、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甘油、泊洛沙姆、左旋乳酸和磷酸盐缓冲液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组成。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依据产品装量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不同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划分不同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型号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规格。</w:t>
      </w:r>
    </w:p>
    <w:p>
      <w:pPr>
        <w:pStyle w:val="20"/>
        <w:spacing w:line="360" w:lineRule="auto"/>
        <w:ind w:firstLine="0" w:firstLineChars="0"/>
        <w:jc w:val="left"/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2. 性能指标</w:t>
      </w:r>
    </w:p>
    <w:p>
      <w:pPr>
        <w:pStyle w:val="20"/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外观</w:t>
      </w:r>
    </w:p>
    <w:p>
      <w:pPr>
        <w:pStyle w:val="2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应</w:t>
      </w:r>
      <w:r>
        <w:rPr>
          <w:rFonts w:hint="eastAsia" w:asciiTheme="minorEastAsia" w:hAnsiTheme="minorEastAsia" w:eastAsiaTheme="minorEastAsia" w:cstheme="minorEastAsia"/>
          <w:sz w:val="24"/>
        </w:rPr>
        <w:t>为白色疏松块状物或粉末，无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肉眼</w:t>
      </w:r>
      <w:r>
        <w:rPr>
          <w:rFonts w:hint="eastAsia" w:asciiTheme="minorEastAsia" w:hAnsiTheme="minorEastAsia" w:eastAsiaTheme="minorEastAsia" w:cstheme="minorEastAsia"/>
          <w:sz w:val="24"/>
        </w:rPr>
        <w:t>可见异物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>
      <w:pPr>
        <w:pStyle w:val="20"/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 装量</w:t>
      </w:r>
    </w:p>
    <w:p>
      <w:pPr>
        <w:pStyle w:val="20"/>
        <w:spacing w:line="360" w:lineRule="auto"/>
        <w:ind w:firstLine="480"/>
        <w:jc w:val="left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平均装量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不小于标示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装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量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，每个容器装量不小于标示装量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的9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%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。</w:t>
      </w:r>
    </w:p>
    <w:p>
      <w:pPr>
        <w:pStyle w:val="20"/>
        <w:spacing w:line="360" w:lineRule="auto"/>
        <w:ind w:firstLine="0" w:firstLineChars="0"/>
        <w:jc w:val="left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cs="宋体"/>
          <w:sz w:val="24"/>
          <w:szCs w:val="24"/>
          <w:lang w:eastAsia="zh-CN"/>
        </w:rPr>
        <w:t>含量</w:t>
      </w:r>
    </w:p>
    <w:p>
      <w:pPr>
        <w:pStyle w:val="20"/>
        <w:spacing w:line="360" w:lineRule="auto"/>
        <w:ind w:firstLine="480" w:firstLineChars="20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钠含量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应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在5g/kg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～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20g/kg之间。</w:t>
      </w:r>
    </w:p>
    <w:p>
      <w:pPr>
        <w:pStyle w:val="20"/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2.4 </w:t>
      </w:r>
      <w:r>
        <w:rPr>
          <w:rFonts w:hint="eastAsia" w:ascii="宋体" w:hAnsi="宋体" w:eastAsia="宋体" w:cs="宋体"/>
          <w:sz w:val="24"/>
          <w:szCs w:val="24"/>
        </w:rPr>
        <w:t>pH值</w:t>
      </w:r>
    </w:p>
    <w:p>
      <w:pPr>
        <w:pStyle w:val="20"/>
        <w:spacing w:line="360" w:lineRule="auto"/>
        <w:ind w:firstLine="48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应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在4</w:t>
      </w:r>
      <w:r>
        <w:rPr>
          <w:rFonts w:hint="eastAsia" w:ascii="宋体" w:hAnsi="宋体" w:eastAsia="宋体" w:cs="宋体"/>
          <w:sz w:val="24"/>
          <w:szCs w:val="24"/>
        </w:rPr>
        <w:t>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～</w:t>
      </w:r>
      <w:r>
        <w:rPr>
          <w:rFonts w:hint="eastAsia" w:ascii="宋体" w:hAnsi="宋体" w:cs="宋体"/>
          <w:sz w:val="24"/>
          <w:szCs w:val="24"/>
          <w:lang w:val="en-US" w:eastAsia="zh-CN"/>
        </w:rPr>
        <w:t>7.0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之间</w:t>
      </w:r>
      <w:r>
        <w:rPr>
          <w:rFonts w:hint="eastAsia" w:ascii="宋体" w:hAnsi="宋体" w:eastAsia="宋体" w:cs="宋体"/>
          <w:sz w:val="24"/>
          <w:szCs w:val="24"/>
        </w:rPr>
        <w:t>。</w:t>
      </w:r>
      <w:bookmarkStart w:id="0" w:name="_Hlk519025266"/>
    </w:p>
    <w:p>
      <w:pPr>
        <w:pStyle w:val="20"/>
        <w:spacing w:line="360" w:lineRule="auto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2.5 重金属总含量</w:t>
      </w:r>
    </w:p>
    <w:p>
      <w:pPr>
        <w:pStyle w:val="20"/>
        <w:spacing w:line="360" w:lineRule="auto"/>
        <w:ind w:left="0" w:leftChars="0" w:firstLine="480" w:firstLineChars="200"/>
        <w:jc w:val="left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hAnsi="宋体"/>
          <w:color w:val="auto"/>
          <w:sz w:val="24"/>
          <w:szCs w:val="24"/>
        </w:rPr>
        <w:t>应</w:t>
      </w:r>
      <w:r>
        <w:rPr>
          <w:rFonts w:hint="eastAsia" w:hAnsi="宋体"/>
          <w:color w:val="auto"/>
          <w:sz w:val="24"/>
          <w:szCs w:val="24"/>
          <w:lang w:eastAsia="zh-CN"/>
        </w:rPr>
        <w:t>不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  <w:t>大于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10µg/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  <w:t>mL。</w:t>
      </w:r>
    </w:p>
    <w:p>
      <w:pPr>
        <w:pStyle w:val="20"/>
        <w:spacing w:line="360" w:lineRule="auto"/>
        <w:ind w:firstLine="0" w:firstLineChars="0"/>
        <w:jc w:val="left"/>
        <w:rPr>
          <w:rFonts w:hint="eastAsia" w:asciiTheme="minorEastAsia" w:hAnsiTheme="minorEastAsia" w:eastAsiaTheme="minorEastAsia" w:cstheme="minorEastAsia"/>
          <w:kern w:val="0"/>
          <w:sz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</w:rPr>
        <w:t>2.</w:t>
      </w:r>
      <w:r>
        <w:rPr>
          <w:rFonts w:hint="eastAsia" w:asciiTheme="minorEastAsia" w:hAnsiTheme="minorEastAsia" w:eastAsiaTheme="minorEastAsia" w:cstheme="minorEastAsia"/>
          <w:kern w:val="0"/>
          <w:sz w:val="24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kern w:val="0"/>
          <w:sz w:val="24"/>
        </w:rPr>
        <w:t xml:space="preserve"> 无菌</w:t>
      </w:r>
    </w:p>
    <w:p>
      <w:pPr>
        <w:pStyle w:val="20"/>
        <w:spacing w:line="360" w:lineRule="auto"/>
        <w:ind w:firstLine="480"/>
        <w:jc w:val="left"/>
        <w:rPr>
          <w:rFonts w:hint="default" w:asciiTheme="minorEastAsia" w:hAnsiTheme="minorEastAsia" w:eastAsia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</w:rPr>
        <w:t>应无菌。</w:t>
      </w:r>
    </w:p>
    <w:bookmarkEnd w:id="0"/>
    <w:p>
      <w:pPr>
        <w:pStyle w:val="20"/>
        <w:numPr>
          <w:ilvl w:val="0"/>
          <w:numId w:val="1"/>
        </w:numPr>
        <w:spacing w:line="360" w:lineRule="auto"/>
        <w:ind w:left="360" w:leftChars="0" w:hanging="360" w:firstLineChars="0"/>
        <w:jc w:val="left"/>
        <w:rPr>
          <w:rFonts w:hint="eastAsia" w:ascii="宋体" w:hAnsi="宋体" w:cs="宋体"/>
          <w:b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检验方法</w:t>
      </w:r>
    </w:p>
    <w:p>
      <w:pPr>
        <w:pStyle w:val="20"/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3.1 外观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取供试品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3支，目视</w:t>
      </w:r>
      <w:r>
        <w:rPr>
          <w:rFonts w:hint="eastAsia" w:ascii="宋体" w:hAnsi="宋体" w:eastAsia="宋体" w:cs="宋体"/>
          <w:sz w:val="24"/>
          <w:szCs w:val="24"/>
        </w:rPr>
        <w:t>观察，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结果</w:t>
      </w:r>
      <w:r>
        <w:rPr>
          <w:rFonts w:hint="eastAsia" w:ascii="宋体" w:hAnsi="宋体" w:eastAsia="宋体" w:cs="宋体"/>
          <w:sz w:val="24"/>
          <w:szCs w:val="24"/>
        </w:rPr>
        <w:t>应符合2.1项下规定。</w:t>
      </w:r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bookmarkStart w:id="1" w:name="_GoBack"/>
      <w:bookmarkEnd w:id="1"/>
    </w:p>
    <w:p>
      <w:pPr>
        <w:pStyle w:val="20"/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3.2 装量</w:t>
      </w:r>
    </w:p>
    <w:p>
      <w:pPr>
        <w:pStyle w:val="2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取供试品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支，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按照</w:t>
      </w:r>
      <w:r>
        <w:rPr>
          <w:rFonts w:hint="eastAsia" w:ascii="宋体" w:hAnsi="宋体" w:eastAsia="宋体" w:cs="宋体"/>
          <w:kern w:val="0"/>
          <w:sz w:val="24"/>
          <w:szCs w:val="24"/>
        </w:rPr>
        <w:t>《中华人民共和国药典》2015年版四部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0942最低装量检查法中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重量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法进行检测，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结果</w:t>
      </w:r>
      <w:r>
        <w:rPr>
          <w:rFonts w:hint="eastAsia" w:ascii="宋体" w:hAnsi="宋体" w:eastAsia="宋体" w:cs="宋体"/>
          <w:sz w:val="24"/>
          <w:szCs w:val="24"/>
        </w:rPr>
        <w:t>应符合2.2项下规定。</w:t>
      </w:r>
    </w:p>
    <w:p>
      <w:pPr>
        <w:pStyle w:val="20"/>
        <w:spacing w:line="360" w:lineRule="auto"/>
        <w:ind w:firstLine="0" w:firstLineChars="0"/>
        <w:jc w:val="left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3.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 xml:space="preserve"> 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含量</w:t>
      </w:r>
    </w:p>
    <w:p>
      <w:pPr>
        <w:pStyle w:val="20"/>
        <w:spacing w:line="360" w:lineRule="auto"/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精密称定干燥失重项下的本品约0.25g，置150mL锥形瓶中，加冰醋酸50mL，摇匀，加热回流2小时，放冷，移至100mL烧杯中，锥形瓶用冰醋酸洗涤3次，每次5mL，合并洗液于烧杯中，照电位滴定法，用高氯酸滴定液（0.1mol/L）滴定，并将滴定的结果用空白试验校正。每1mL高氯酸滴定液（0.1mol/L）相当于2.299mg的Na。结果应符合2.3项下规定。</w:t>
      </w:r>
    </w:p>
    <w:p>
      <w:pPr>
        <w:pStyle w:val="20"/>
        <w:spacing w:line="360" w:lineRule="auto"/>
        <w:ind w:firstLine="0" w:firstLineChars="0"/>
        <w:jc w:val="left"/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3.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4 检验液制备</w:t>
      </w:r>
    </w:p>
    <w:p>
      <w:pPr>
        <w:pStyle w:val="20"/>
        <w:spacing w:line="360" w:lineRule="auto"/>
        <w:ind w:firstLine="480" w:firstLineChars="200"/>
        <w:jc w:val="left"/>
        <w:rPr>
          <w:rFonts w:hint="default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取供试品适量，按1g加10mL的比例加水，在37℃±1℃下恒温24h，将样品与液体分离，冷至室温，作为检验液。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3.4.1 </w:t>
      </w:r>
      <w:r>
        <w:rPr>
          <w:rFonts w:hint="eastAsia" w:ascii="宋体" w:hAnsi="宋体" w:eastAsia="宋体" w:cs="宋体"/>
          <w:sz w:val="24"/>
          <w:szCs w:val="24"/>
        </w:rPr>
        <w:t>pH值</w:t>
      </w:r>
    </w:p>
    <w:p>
      <w:pPr>
        <w:pStyle w:val="20"/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取</w:t>
      </w:r>
      <w:r>
        <w:rPr>
          <w:rFonts w:hint="eastAsia" w:ascii="宋体" w:hAnsi="宋体" w:cs="宋体"/>
          <w:sz w:val="24"/>
          <w:szCs w:val="24"/>
          <w:lang w:eastAsia="zh-CN"/>
        </w:rPr>
        <w:t>检验液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适量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</w:rPr>
        <w:t>按照《中华人民共和国药典》2015年版四部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0631pH值测定法进行检测，</w:t>
      </w:r>
      <w:r>
        <w:rPr>
          <w:rFonts w:hint="eastAsia" w:ascii="宋体" w:hAnsi="宋体" w:eastAsia="宋体" w:cs="宋体"/>
          <w:kern w:val="0"/>
          <w:sz w:val="24"/>
          <w:szCs w:val="24"/>
        </w:rPr>
        <w:t>结果</w:t>
      </w:r>
      <w:r>
        <w:rPr>
          <w:rFonts w:hint="eastAsia" w:ascii="宋体" w:hAnsi="宋体" w:eastAsia="宋体" w:cs="宋体"/>
          <w:sz w:val="24"/>
          <w:szCs w:val="24"/>
        </w:rPr>
        <w:t>应符合2.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项下规定。</w:t>
      </w:r>
    </w:p>
    <w:p>
      <w:pPr>
        <w:pStyle w:val="20"/>
        <w:spacing w:line="360" w:lineRule="auto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3.4.2 重金属总含量</w:t>
      </w:r>
    </w:p>
    <w:p>
      <w:pPr>
        <w:pStyle w:val="20"/>
        <w:spacing w:line="360" w:lineRule="auto"/>
        <w:ind w:left="0" w:leftChars="0"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取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检验液适量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按照GB/T14233.1-2008中5.6.1进行检验，结果应符合2.5项下规定。</w:t>
      </w:r>
    </w:p>
    <w:p>
      <w:pPr>
        <w:pStyle w:val="20"/>
        <w:spacing w:line="360" w:lineRule="auto"/>
        <w:ind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无菌</w:t>
      </w:r>
    </w:p>
    <w:p>
      <w:pPr>
        <w:pStyle w:val="20"/>
        <w:spacing w:line="360" w:lineRule="auto"/>
        <w:ind w:firstLine="48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取供试品适量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按照《中华人民共和国药典》2015年版四部1101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无菌检测法中直接接种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法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进行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检测，结果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应符合2.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项下规定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pgNumType w:start="1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sz w:val="28"/>
        <w:szCs w:val="28"/>
      </w:rPr>
    </w:pPr>
  </w:p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right"/>
      <w:rPr>
        <w:rFonts w:hint="eastAsia" w:eastAsia="宋体"/>
        <w:lang w:val="en-US" w:eastAsia="zh-CN"/>
      </w:rPr>
    </w:pPr>
    <w:r>
      <w:rPr>
        <w:rFonts w:hint="eastAsia"/>
        <w:lang w:eastAsia="zh-CN"/>
      </w:rPr>
      <w:t>吉林省杭盖秱博生物科技有限公司产品技术要求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240E0"/>
    <w:multiLevelType w:val="multilevel"/>
    <w:tmpl w:val="198240E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2A5"/>
    <w:rsid w:val="00015CF3"/>
    <w:rsid w:val="000161DC"/>
    <w:rsid w:val="00032E12"/>
    <w:rsid w:val="00042CD1"/>
    <w:rsid w:val="0004509B"/>
    <w:rsid w:val="00052B0A"/>
    <w:rsid w:val="00061479"/>
    <w:rsid w:val="00071648"/>
    <w:rsid w:val="00084F99"/>
    <w:rsid w:val="0008624D"/>
    <w:rsid w:val="000868DB"/>
    <w:rsid w:val="00093094"/>
    <w:rsid w:val="000A6942"/>
    <w:rsid w:val="000C10E6"/>
    <w:rsid w:val="000F6A3E"/>
    <w:rsid w:val="00112188"/>
    <w:rsid w:val="00126237"/>
    <w:rsid w:val="0013019C"/>
    <w:rsid w:val="00135082"/>
    <w:rsid w:val="001502DA"/>
    <w:rsid w:val="001563AB"/>
    <w:rsid w:val="001749AE"/>
    <w:rsid w:val="0017615C"/>
    <w:rsid w:val="00182220"/>
    <w:rsid w:val="00185F9A"/>
    <w:rsid w:val="001962F9"/>
    <w:rsid w:val="001B61A3"/>
    <w:rsid w:val="001C7255"/>
    <w:rsid w:val="001F0D11"/>
    <w:rsid w:val="002004AF"/>
    <w:rsid w:val="00205959"/>
    <w:rsid w:val="0021046B"/>
    <w:rsid w:val="00210B3C"/>
    <w:rsid w:val="00215A2C"/>
    <w:rsid w:val="00226D34"/>
    <w:rsid w:val="00233791"/>
    <w:rsid w:val="00235CA7"/>
    <w:rsid w:val="00243195"/>
    <w:rsid w:val="002470AD"/>
    <w:rsid w:val="00272A3E"/>
    <w:rsid w:val="00281390"/>
    <w:rsid w:val="0029293A"/>
    <w:rsid w:val="002A2539"/>
    <w:rsid w:val="002B2C35"/>
    <w:rsid w:val="002B2F3D"/>
    <w:rsid w:val="002B6B90"/>
    <w:rsid w:val="002C24A7"/>
    <w:rsid w:val="002C45B5"/>
    <w:rsid w:val="002C7039"/>
    <w:rsid w:val="002F26A1"/>
    <w:rsid w:val="002F7A9E"/>
    <w:rsid w:val="0031334D"/>
    <w:rsid w:val="0032108F"/>
    <w:rsid w:val="00323F6C"/>
    <w:rsid w:val="003322A2"/>
    <w:rsid w:val="00342A8D"/>
    <w:rsid w:val="00344210"/>
    <w:rsid w:val="003622ED"/>
    <w:rsid w:val="00362F90"/>
    <w:rsid w:val="0037102F"/>
    <w:rsid w:val="00380FA1"/>
    <w:rsid w:val="003A5FD1"/>
    <w:rsid w:val="003B331F"/>
    <w:rsid w:val="003B6692"/>
    <w:rsid w:val="003C0251"/>
    <w:rsid w:val="00401D59"/>
    <w:rsid w:val="0041064E"/>
    <w:rsid w:val="00413A3A"/>
    <w:rsid w:val="00413D89"/>
    <w:rsid w:val="004229D3"/>
    <w:rsid w:val="004440DA"/>
    <w:rsid w:val="004666D2"/>
    <w:rsid w:val="00467632"/>
    <w:rsid w:val="00473F04"/>
    <w:rsid w:val="00473FB0"/>
    <w:rsid w:val="004745E7"/>
    <w:rsid w:val="004921A8"/>
    <w:rsid w:val="004A3C16"/>
    <w:rsid w:val="004A69B8"/>
    <w:rsid w:val="004B3F9E"/>
    <w:rsid w:val="004B5CC8"/>
    <w:rsid w:val="004C2F5B"/>
    <w:rsid w:val="004C5513"/>
    <w:rsid w:val="004D4CDA"/>
    <w:rsid w:val="004D5B66"/>
    <w:rsid w:val="0051552F"/>
    <w:rsid w:val="00515AF0"/>
    <w:rsid w:val="00531D1B"/>
    <w:rsid w:val="0053332A"/>
    <w:rsid w:val="005432EB"/>
    <w:rsid w:val="00561788"/>
    <w:rsid w:val="0057173E"/>
    <w:rsid w:val="00571C62"/>
    <w:rsid w:val="00575D61"/>
    <w:rsid w:val="00583824"/>
    <w:rsid w:val="00587CA1"/>
    <w:rsid w:val="005B2387"/>
    <w:rsid w:val="005C1216"/>
    <w:rsid w:val="005D5A1E"/>
    <w:rsid w:val="005E787C"/>
    <w:rsid w:val="005F69BE"/>
    <w:rsid w:val="005F7DD2"/>
    <w:rsid w:val="0060196D"/>
    <w:rsid w:val="00616ED3"/>
    <w:rsid w:val="00626E2D"/>
    <w:rsid w:val="00626E5F"/>
    <w:rsid w:val="00630014"/>
    <w:rsid w:val="006468FD"/>
    <w:rsid w:val="00647F4A"/>
    <w:rsid w:val="00652D4D"/>
    <w:rsid w:val="00661992"/>
    <w:rsid w:val="00671193"/>
    <w:rsid w:val="006744AF"/>
    <w:rsid w:val="00677754"/>
    <w:rsid w:val="006B09AE"/>
    <w:rsid w:val="006B0A25"/>
    <w:rsid w:val="006D03EE"/>
    <w:rsid w:val="006E675C"/>
    <w:rsid w:val="007003D4"/>
    <w:rsid w:val="0070101B"/>
    <w:rsid w:val="00705667"/>
    <w:rsid w:val="00712834"/>
    <w:rsid w:val="00713F4F"/>
    <w:rsid w:val="00733B29"/>
    <w:rsid w:val="007569B3"/>
    <w:rsid w:val="007635F0"/>
    <w:rsid w:val="00770568"/>
    <w:rsid w:val="00771135"/>
    <w:rsid w:val="007713C4"/>
    <w:rsid w:val="00776E82"/>
    <w:rsid w:val="007807AB"/>
    <w:rsid w:val="0078103E"/>
    <w:rsid w:val="00792AE5"/>
    <w:rsid w:val="007A4FD1"/>
    <w:rsid w:val="007B22D3"/>
    <w:rsid w:val="007D0897"/>
    <w:rsid w:val="007D6B5F"/>
    <w:rsid w:val="007D7E25"/>
    <w:rsid w:val="007E71B2"/>
    <w:rsid w:val="007F1A40"/>
    <w:rsid w:val="007F45D7"/>
    <w:rsid w:val="007F46CE"/>
    <w:rsid w:val="007F5BF0"/>
    <w:rsid w:val="00801CE2"/>
    <w:rsid w:val="00802474"/>
    <w:rsid w:val="00804B11"/>
    <w:rsid w:val="00814EC6"/>
    <w:rsid w:val="0082424D"/>
    <w:rsid w:val="008472A5"/>
    <w:rsid w:val="008557DF"/>
    <w:rsid w:val="008651E0"/>
    <w:rsid w:val="00885A60"/>
    <w:rsid w:val="00891B7B"/>
    <w:rsid w:val="00894185"/>
    <w:rsid w:val="00894330"/>
    <w:rsid w:val="008A0CB7"/>
    <w:rsid w:val="008A1548"/>
    <w:rsid w:val="008B0D42"/>
    <w:rsid w:val="008D3C49"/>
    <w:rsid w:val="008F4B46"/>
    <w:rsid w:val="008F6337"/>
    <w:rsid w:val="009056ED"/>
    <w:rsid w:val="00920690"/>
    <w:rsid w:val="00920927"/>
    <w:rsid w:val="00934A83"/>
    <w:rsid w:val="009673BB"/>
    <w:rsid w:val="009676D6"/>
    <w:rsid w:val="00990D3D"/>
    <w:rsid w:val="009A0199"/>
    <w:rsid w:val="009B0A5A"/>
    <w:rsid w:val="009B3A93"/>
    <w:rsid w:val="009B5804"/>
    <w:rsid w:val="009C1178"/>
    <w:rsid w:val="009D2E64"/>
    <w:rsid w:val="009F496B"/>
    <w:rsid w:val="009F6AB0"/>
    <w:rsid w:val="00A029E3"/>
    <w:rsid w:val="00A042B1"/>
    <w:rsid w:val="00A17123"/>
    <w:rsid w:val="00A25F94"/>
    <w:rsid w:val="00A27658"/>
    <w:rsid w:val="00A35EED"/>
    <w:rsid w:val="00A53CF3"/>
    <w:rsid w:val="00A57571"/>
    <w:rsid w:val="00A57644"/>
    <w:rsid w:val="00A67206"/>
    <w:rsid w:val="00A90B0E"/>
    <w:rsid w:val="00A9299F"/>
    <w:rsid w:val="00AA20A3"/>
    <w:rsid w:val="00AA3C1E"/>
    <w:rsid w:val="00AB5DAD"/>
    <w:rsid w:val="00AB6D2E"/>
    <w:rsid w:val="00AD3F38"/>
    <w:rsid w:val="00AE3547"/>
    <w:rsid w:val="00AE4CA2"/>
    <w:rsid w:val="00AF29FF"/>
    <w:rsid w:val="00AF55BC"/>
    <w:rsid w:val="00AF6E24"/>
    <w:rsid w:val="00B142A2"/>
    <w:rsid w:val="00B2005B"/>
    <w:rsid w:val="00B27D2A"/>
    <w:rsid w:val="00B4744D"/>
    <w:rsid w:val="00B47587"/>
    <w:rsid w:val="00B54075"/>
    <w:rsid w:val="00B70F15"/>
    <w:rsid w:val="00B72FA6"/>
    <w:rsid w:val="00B828BC"/>
    <w:rsid w:val="00B94B46"/>
    <w:rsid w:val="00BA1558"/>
    <w:rsid w:val="00BA196B"/>
    <w:rsid w:val="00BA30C5"/>
    <w:rsid w:val="00BA3251"/>
    <w:rsid w:val="00BB1C31"/>
    <w:rsid w:val="00BB2CD8"/>
    <w:rsid w:val="00BC3B43"/>
    <w:rsid w:val="00BC50F3"/>
    <w:rsid w:val="00BC6779"/>
    <w:rsid w:val="00BF04E4"/>
    <w:rsid w:val="00BF1F43"/>
    <w:rsid w:val="00C11720"/>
    <w:rsid w:val="00C12963"/>
    <w:rsid w:val="00C50A5E"/>
    <w:rsid w:val="00C51087"/>
    <w:rsid w:val="00C5239A"/>
    <w:rsid w:val="00C63478"/>
    <w:rsid w:val="00C7590C"/>
    <w:rsid w:val="00C83228"/>
    <w:rsid w:val="00CB2382"/>
    <w:rsid w:val="00CB391E"/>
    <w:rsid w:val="00CC7FEA"/>
    <w:rsid w:val="00CE35E5"/>
    <w:rsid w:val="00CE5C0A"/>
    <w:rsid w:val="00CF1CF4"/>
    <w:rsid w:val="00D1329B"/>
    <w:rsid w:val="00D17FC8"/>
    <w:rsid w:val="00D22BBA"/>
    <w:rsid w:val="00D275DB"/>
    <w:rsid w:val="00D31EC0"/>
    <w:rsid w:val="00D32B5A"/>
    <w:rsid w:val="00D36A1F"/>
    <w:rsid w:val="00D438D4"/>
    <w:rsid w:val="00D56B48"/>
    <w:rsid w:val="00D61697"/>
    <w:rsid w:val="00D85903"/>
    <w:rsid w:val="00D94849"/>
    <w:rsid w:val="00DC30AD"/>
    <w:rsid w:val="00DE4CD4"/>
    <w:rsid w:val="00DE6CCD"/>
    <w:rsid w:val="00DF4EFA"/>
    <w:rsid w:val="00E01B8A"/>
    <w:rsid w:val="00E12025"/>
    <w:rsid w:val="00E269B4"/>
    <w:rsid w:val="00E6021A"/>
    <w:rsid w:val="00E7036C"/>
    <w:rsid w:val="00E70FC2"/>
    <w:rsid w:val="00E8232B"/>
    <w:rsid w:val="00E831EE"/>
    <w:rsid w:val="00E936B9"/>
    <w:rsid w:val="00EC0F28"/>
    <w:rsid w:val="00EC3D64"/>
    <w:rsid w:val="00ED62AA"/>
    <w:rsid w:val="00EE3049"/>
    <w:rsid w:val="00EE5552"/>
    <w:rsid w:val="00EF625B"/>
    <w:rsid w:val="00F01B60"/>
    <w:rsid w:val="00F279EB"/>
    <w:rsid w:val="00F40DE0"/>
    <w:rsid w:val="00F42BFE"/>
    <w:rsid w:val="00F4750C"/>
    <w:rsid w:val="00F55C7B"/>
    <w:rsid w:val="00F64787"/>
    <w:rsid w:val="00F70A69"/>
    <w:rsid w:val="00F7361B"/>
    <w:rsid w:val="00F737CE"/>
    <w:rsid w:val="00F9209A"/>
    <w:rsid w:val="00FA67EE"/>
    <w:rsid w:val="00FC7A73"/>
    <w:rsid w:val="00FF2624"/>
    <w:rsid w:val="03436B2C"/>
    <w:rsid w:val="03736FC3"/>
    <w:rsid w:val="0E5C1188"/>
    <w:rsid w:val="101458DE"/>
    <w:rsid w:val="128C27BE"/>
    <w:rsid w:val="12CE1902"/>
    <w:rsid w:val="14AC1552"/>
    <w:rsid w:val="157F723E"/>
    <w:rsid w:val="1A342FE1"/>
    <w:rsid w:val="1A8C07C8"/>
    <w:rsid w:val="1BDD53DC"/>
    <w:rsid w:val="1C983F72"/>
    <w:rsid w:val="1F572C28"/>
    <w:rsid w:val="205D0AB3"/>
    <w:rsid w:val="228811F3"/>
    <w:rsid w:val="23CE5C38"/>
    <w:rsid w:val="2609411F"/>
    <w:rsid w:val="2CA5038D"/>
    <w:rsid w:val="2F565223"/>
    <w:rsid w:val="30CE76B2"/>
    <w:rsid w:val="31BF2A31"/>
    <w:rsid w:val="332B674E"/>
    <w:rsid w:val="362D2C1B"/>
    <w:rsid w:val="36424CDA"/>
    <w:rsid w:val="36791377"/>
    <w:rsid w:val="36EB133F"/>
    <w:rsid w:val="382027B6"/>
    <w:rsid w:val="38251218"/>
    <w:rsid w:val="3A252367"/>
    <w:rsid w:val="3B743CB8"/>
    <w:rsid w:val="3CF51F5A"/>
    <w:rsid w:val="3D960AD4"/>
    <w:rsid w:val="3DAD4017"/>
    <w:rsid w:val="44B527D1"/>
    <w:rsid w:val="44DF1D38"/>
    <w:rsid w:val="4BEB18EC"/>
    <w:rsid w:val="4EE20BDD"/>
    <w:rsid w:val="504661A7"/>
    <w:rsid w:val="5052729D"/>
    <w:rsid w:val="515620A7"/>
    <w:rsid w:val="517C70FB"/>
    <w:rsid w:val="54786D9B"/>
    <w:rsid w:val="56884581"/>
    <w:rsid w:val="57A74070"/>
    <w:rsid w:val="5B81363C"/>
    <w:rsid w:val="5D3C7168"/>
    <w:rsid w:val="5F2B7DF1"/>
    <w:rsid w:val="673B536A"/>
    <w:rsid w:val="67DA7B44"/>
    <w:rsid w:val="69E15C6D"/>
    <w:rsid w:val="6B7C202F"/>
    <w:rsid w:val="6ED04B87"/>
    <w:rsid w:val="6F3555C6"/>
    <w:rsid w:val="70BF5B58"/>
    <w:rsid w:val="7AFA1073"/>
    <w:rsid w:val="7C4B38FC"/>
    <w:rsid w:val="7D3C50DF"/>
    <w:rsid w:val="7FA4549E"/>
    <w:rsid w:val="7FD0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4"/>
    <w:semiHidden/>
    <w:qFormat/>
    <w:uiPriority w:val="99"/>
    <w:pPr>
      <w:jc w:val="left"/>
    </w:pPr>
    <w:rPr>
      <w:rFonts w:ascii="Times New Roman" w:hAnsi="Times New Roman"/>
      <w:kern w:val="0"/>
      <w:sz w:val="20"/>
      <w:szCs w:val="20"/>
    </w:rPr>
  </w:style>
  <w:style w:type="paragraph" w:styleId="3">
    <w:name w:val="Balloon Text"/>
    <w:basedOn w:val="1"/>
    <w:link w:val="23"/>
    <w:unhideWhenUsed/>
    <w:qFormat/>
    <w:uiPriority w:val="99"/>
    <w:rPr>
      <w:kern w:val="0"/>
      <w:sz w:val="18"/>
      <w:szCs w:val="18"/>
    </w:rPr>
  </w:style>
  <w:style w:type="paragraph" w:styleId="4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6">
    <w:name w:val="annotation subject"/>
    <w:basedOn w:val="2"/>
    <w:next w:val="2"/>
    <w:link w:val="27"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unhideWhenUsed/>
    <w:qFormat/>
    <w:uiPriority w:val="99"/>
    <w:rPr>
      <w:rFonts w:cs="Times New Roman"/>
      <w:sz w:val="21"/>
      <w:szCs w:val="21"/>
    </w:rPr>
  </w:style>
  <w:style w:type="paragraph" w:customStyle="1" w:styleId="11">
    <w:name w:val="四级条标题"/>
    <w:basedOn w:val="12"/>
    <w:next w:val="1"/>
    <w:qFormat/>
    <w:uiPriority w:val="0"/>
    <w:pPr>
      <w:tabs>
        <w:tab w:val="left" w:pos="360"/>
        <w:tab w:val="left" w:pos="2220"/>
        <w:tab w:val="left" w:pos="2400"/>
        <w:tab w:val="left" w:pos="2820"/>
      </w:tabs>
      <w:ind w:left="2820"/>
      <w:outlineLvl w:val="5"/>
    </w:pPr>
  </w:style>
  <w:style w:type="paragraph" w:customStyle="1" w:styleId="12">
    <w:name w:val="三级条标题"/>
    <w:basedOn w:val="13"/>
    <w:next w:val="1"/>
    <w:qFormat/>
    <w:uiPriority w:val="0"/>
    <w:pPr>
      <w:tabs>
        <w:tab w:val="left" w:pos="360"/>
        <w:tab w:val="left" w:pos="2220"/>
        <w:tab w:val="left" w:pos="2400"/>
      </w:tabs>
      <w:ind w:left="2400" w:hanging="420"/>
      <w:outlineLvl w:val="4"/>
    </w:pPr>
  </w:style>
  <w:style w:type="paragraph" w:customStyle="1" w:styleId="13">
    <w:name w:val="二级条标题"/>
    <w:basedOn w:val="14"/>
    <w:next w:val="1"/>
    <w:qFormat/>
    <w:uiPriority w:val="0"/>
    <w:pPr>
      <w:tabs>
        <w:tab w:val="left" w:pos="360"/>
        <w:tab w:val="left" w:pos="2220"/>
      </w:tabs>
      <w:ind w:left="360" w:firstLine="0"/>
      <w:outlineLvl w:val="3"/>
    </w:pPr>
  </w:style>
  <w:style w:type="paragraph" w:customStyle="1" w:styleId="14">
    <w:name w:val="一级条标题"/>
    <w:basedOn w:val="15"/>
    <w:next w:val="1"/>
    <w:qFormat/>
    <w:uiPriority w:val="0"/>
    <w:pPr>
      <w:tabs>
        <w:tab w:val="left" w:pos="360"/>
        <w:tab w:val="left" w:pos="2220"/>
      </w:tabs>
      <w:spacing w:beforeLines="0" w:afterLines="0"/>
      <w:ind w:left="2220" w:hanging="1080"/>
      <w:outlineLvl w:val="2"/>
    </w:pPr>
  </w:style>
  <w:style w:type="paragraph" w:customStyle="1" w:styleId="15">
    <w:name w:val="章标题"/>
    <w:qFormat/>
    <w:uiPriority w:val="0"/>
    <w:pPr>
      <w:spacing w:beforeLines="50" w:afterLines="50"/>
      <w:jc w:val="both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6">
    <w:name w:val="前言、引言标题"/>
    <w:next w:val="1"/>
    <w:qFormat/>
    <w:uiPriority w:val="0"/>
    <w:p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7">
    <w:name w:val="段"/>
    <w:link w:val="21"/>
    <w:qFormat/>
    <w:uiPriority w:val="0"/>
    <w:pPr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2"/>
      <w:sz w:val="22"/>
      <w:lang w:val="en-US" w:eastAsia="zh-CN" w:bidi="ar-SA"/>
    </w:rPr>
  </w:style>
  <w:style w:type="paragraph" w:styleId="18">
    <w:name w:val="No Spacing"/>
    <w:link w:val="2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19">
    <w:name w:val="五级条标题"/>
    <w:basedOn w:val="11"/>
    <w:next w:val="1"/>
    <w:qFormat/>
    <w:uiPriority w:val="0"/>
    <w:pPr>
      <w:tabs>
        <w:tab w:val="left" w:pos="3240"/>
        <w:tab w:val="clear" w:pos="2820"/>
      </w:tabs>
      <w:ind w:left="3240"/>
      <w:outlineLvl w:val="6"/>
    </w:p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段 Char"/>
    <w:link w:val="17"/>
    <w:qFormat/>
    <w:locked/>
    <w:uiPriority w:val="0"/>
    <w:rPr>
      <w:rFonts w:ascii="宋体" w:hAnsi="Times New Roman"/>
      <w:kern w:val="2"/>
      <w:sz w:val="22"/>
      <w:lang w:val="en-US" w:eastAsia="zh-CN" w:bidi="ar-SA"/>
    </w:rPr>
  </w:style>
  <w:style w:type="character" w:customStyle="1" w:styleId="22">
    <w:name w:val="页脚 Char"/>
    <w:link w:val="4"/>
    <w:qFormat/>
    <w:locked/>
    <w:uiPriority w:val="99"/>
    <w:rPr>
      <w:rFonts w:cs="Times New Roman"/>
      <w:sz w:val="18"/>
      <w:szCs w:val="18"/>
    </w:rPr>
  </w:style>
  <w:style w:type="character" w:customStyle="1" w:styleId="23">
    <w:name w:val="批注框文本 Char"/>
    <w:link w:val="3"/>
    <w:semiHidden/>
    <w:qFormat/>
    <w:locked/>
    <w:uiPriority w:val="99"/>
    <w:rPr>
      <w:rFonts w:cs="Times New Roman"/>
      <w:sz w:val="18"/>
      <w:szCs w:val="18"/>
    </w:rPr>
  </w:style>
  <w:style w:type="character" w:customStyle="1" w:styleId="24">
    <w:name w:val="批注文字 Char"/>
    <w:link w:val="2"/>
    <w:semiHidden/>
    <w:qFormat/>
    <w:locked/>
    <w:uiPriority w:val="99"/>
    <w:rPr>
      <w:rFonts w:ascii="Times New Roman" w:hAnsi="Times New Roman" w:eastAsia="宋体" w:cs="Times New Roman"/>
      <w:sz w:val="20"/>
      <w:szCs w:val="20"/>
    </w:rPr>
  </w:style>
  <w:style w:type="character" w:customStyle="1" w:styleId="25">
    <w:name w:val="页眉 Char"/>
    <w:link w:val="5"/>
    <w:qFormat/>
    <w:locked/>
    <w:uiPriority w:val="99"/>
    <w:rPr>
      <w:rFonts w:cs="Times New Roman"/>
      <w:sz w:val="18"/>
      <w:szCs w:val="18"/>
    </w:rPr>
  </w:style>
  <w:style w:type="character" w:customStyle="1" w:styleId="26">
    <w:name w:val="无间隔 Char"/>
    <w:link w:val="18"/>
    <w:qFormat/>
    <w:locked/>
    <w:uiPriority w:val="1"/>
    <w:rPr>
      <w:sz w:val="22"/>
      <w:szCs w:val="22"/>
      <w:lang w:val="en-US" w:eastAsia="zh-CN" w:bidi="ar-SA"/>
    </w:rPr>
  </w:style>
  <w:style w:type="character" w:customStyle="1" w:styleId="27">
    <w:name w:val="批注主题 Char"/>
    <w:link w:val="6"/>
    <w:semiHidden/>
    <w:qFormat/>
    <w:locked/>
    <w:uiPriority w:val="99"/>
    <w:rPr>
      <w:rFonts w:ascii="Times New Roman" w:hAnsi="Times New Roman" w:eastAsia="宋体" w:cs="Times New Roman"/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3</Pages>
  <Words>191</Words>
  <Characters>1093</Characters>
  <Lines>9</Lines>
  <Paragraphs>2</Paragraphs>
  <TotalTime>6</TotalTime>
  <ScaleCrop>false</ScaleCrop>
  <LinksUpToDate>false</LinksUpToDate>
  <CharactersWithSpaces>1282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2015-03-24T06:16:00Z</dcterms:created>
  <dc:creator>Sky123.Org</dc:creator>
  <cp:lastModifiedBy>帅亮</cp:lastModifiedBy>
  <cp:lastPrinted>2019-10-17T04:49:00Z</cp:lastPrinted>
  <dcterms:modified xsi:type="dcterms:W3CDTF">2020-06-11T00:16:49Z</dcterms:modified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