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E4071">
      <w:pPr>
        <w:jc w:val="center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sz w:val="36"/>
          <w:szCs w:val="24"/>
        </w:rPr>
        <w:t>会议纪要</w:t>
      </w:r>
    </w:p>
    <w:p w14:paraId="7F8B3FD4">
      <w:pPr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1"/>
        </w:rPr>
        <w:t>会议纪要    ☐外部会议 ☑内部会议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2970"/>
        <w:gridCol w:w="2153"/>
        <w:gridCol w:w="2549"/>
      </w:tblGrid>
      <w:tr w14:paraId="51749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4" w:type="dxa"/>
            <w:tcBorders>
              <w:tl2br w:val="nil"/>
              <w:tr2bl w:val="nil"/>
            </w:tcBorders>
            <w:vAlign w:val="center"/>
          </w:tcPr>
          <w:p w14:paraId="3B1E712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会议名称</w:t>
            </w:r>
          </w:p>
        </w:tc>
        <w:tc>
          <w:tcPr>
            <w:tcW w:w="7672" w:type="dxa"/>
            <w:gridSpan w:val="3"/>
            <w:tcBorders>
              <w:tl2br w:val="nil"/>
              <w:tr2bl w:val="nil"/>
            </w:tcBorders>
            <w:vAlign w:val="center"/>
          </w:tcPr>
          <w:p w14:paraId="21337E3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2026年5月FP项目排产评审会</w:t>
            </w:r>
          </w:p>
        </w:tc>
      </w:tr>
      <w:tr w14:paraId="05DED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4" w:type="dxa"/>
            <w:tcBorders>
              <w:tl2br w:val="nil"/>
              <w:tr2bl w:val="nil"/>
            </w:tcBorders>
            <w:vAlign w:val="center"/>
          </w:tcPr>
          <w:p w14:paraId="61E3CD2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会议类别</w:t>
            </w:r>
          </w:p>
        </w:tc>
        <w:tc>
          <w:tcPr>
            <w:tcW w:w="7672" w:type="dxa"/>
            <w:gridSpan w:val="3"/>
            <w:tcBorders>
              <w:tl2br w:val="nil"/>
              <w:tr2bl w:val="nil"/>
            </w:tcBorders>
            <w:vAlign w:val="center"/>
          </w:tcPr>
          <w:p w14:paraId="35DB762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☐重大会议 ☑评审会 ☐例会</w:t>
            </w:r>
          </w:p>
        </w:tc>
      </w:tr>
      <w:tr w14:paraId="33642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4" w:type="dxa"/>
            <w:tcBorders>
              <w:tl2br w:val="nil"/>
              <w:tr2bl w:val="nil"/>
            </w:tcBorders>
            <w:vAlign w:val="center"/>
          </w:tcPr>
          <w:p w14:paraId="21E91732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会议地点</w:t>
            </w:r>
          </w:p>
        </w:tc>
        <w:tc>
          <w:tcPr>
            <w:tcW w:w="2970" w:type="dxa"/>
            <w:tcBorders>
              <w:tl2br w:val="nil"/>
              <w:tr2bl w:val="nil"/>
            </w:tcBorders>
            <w:vAlign w:val="center"/>
          </w:tcPr>
          <w:p w14:paraId="21742F5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welink线上会议</w:t>
            </w:r>
          </w:p>
        </w:tc>
        <w:tc>
          <w:tcPr>
            <w:tcW w:w="2153" w:type="dxa"/>
            <w:tcBorders>
              <w:tl2br w:val="nil"/>
              <w:tr2bl w:val="nil"/>
            </w:tcBorders>
            <w:vAlign w:val="center"/>
          </w:tcPr>
          <w:p w14:paraId="18ED952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会议时间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4CBEC4A1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2026-5-8 10:00~11:</w:t>
            </w:r>
            <w:r>
              <w:rPr>
                <w:rFonts w:hint="eastAsia" w:ascii="微软雅黑" w:hAnsi="微软雅黑" w:eastAsia="微软雅黑" w:cs="微软雅黑"/>
                <w:b w:val="0"/>
                <w:sz w:val="21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0</w:t>
            </w:r>
          </w:p>
        </w:tc>
      </w:tr>
      <w:tr w14:paraId="585EE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4" w:type="dxa"/>
            <w:tcBorders>
              <w:tl2br w:val="nil"/>
              <w:tr2bl w:val="nil"/>
            </w:tcBorders>
            <w:vAlign w:val="center"/>
          </w:tcPr>
          <w:p w14:paraId="5E51335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参会人员</w:t>
            </w:r>
          </w:p>
        </w:tc>
        <w:tc>
          <w:tcPr>
            <w:tcW w:w="7672" w:type="dxa"/>
            <w:gridSpan w:val="3"/>
            <w:tcBorders>
              <w:tl2br w:val="nil"/>
              <w:tr2bl w:val="nil"/>
            </w:tcBorders>
            <w:vAlign w:val="center"/>
          </w:tcPr>
          <w:p w14:paraId="0F4B9A75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沙建银、崔哲、汪秀娟、孟钊磊、丁召海、李梦翔、王建、秦韩、田茂钊、易波、袁嘉、向锐、赵云平</w:t>
            </w:r>
          </w:p>
        </w:tc>
      </w:tr>
      <w:tr w14:paraId="6436A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1184" w:type="dxa"/>
            <w:tcBorders>
              <w:tl2br w:val="nil"/>
              <w:tr2bl w:val="nil"/>
            </w:tcBorders>
            <w:vAlign w:val="center"/>
          </w:tcPr>
          <w:p w14:paraId="0856E930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纪要整理</w:t>
            </w:r>
          </w:p>
        </w:tc>
        <w:tc>
          <w:tcPr>
            <w:tcW w:w="2970" w:type="dxa"/>
            <w:tcBorders>
              <w:tl2br w:val="nil"/>
              <w:tr2bl w:val="nil"/>
            </w:tcBorders>
            <w:vAlign w:val="center"/>
          </w:tcPr>
          <w:p w14:paraId="7FD48D07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赵云平、崔哲</w:t>
            </w:r>
          </w:p>
        </w:tc>
        <w:tc>
          <w:tcPr>
            <w:tcW w:w="2153" w:type="dxa"/>
            <w:tcBorders>
              <w:tl2br w:val="nil"/>
              <w:tr2bl w:val="nil"/>
            </w:tcBorders>
            <w:vAlign w:val="center"/>
          </w:tcPr>
          <w:p w14:paraId="6907CC6A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纪要审核</w:t>
            </w:r>
          </w:p>
        </w:tc>
        <w:tc>
          <w:tcPr>
            <w:tcW w:w="2549" w:type="dxa"/>
            <w:tcBorders>
              <w:tl2br w:val="nil"/>
              <w:tr2bl w:val="nil"/>
            </w:tcBorders>
            <w:vAlign w:val="center"/>
          </w:tcPr>
          <w:p w14:paraId="6DFE8344">
            <w:pPr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汪秀娟</w:t>
            </w:r>
          </w:p>
        </w:tc>
      </w:tr>
      <w:tr w14:paraId="4112F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4" w:type="dxa"/>
            <w:tcBorders>
              <w:tl2br w:val="nil"/>
              <w:tr2bl w:val="nil"/>
            </w:tcBorders>
            <w:vAlign w:val="center"/>
          </w:tcPr>
          <w:p w14:paraId="6BF066D5">
            <w:pPr>
              <w:jc w:val="center"/>
              <w:rPr>
                <w:rFonts w:hint="default" w:ascii="微软雅黑" w:hAnsi="微软雅黑" w:eastAsia="微软雅黑" w:cs="微软雅黑"/>
                <w:b w:val="0"/>
                <w:sz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lang w:val="en-US" w:eastAsia="zh-CN"/>
              </w:rPr>
              <w:t>会议议程</w:t>
            </w:r>
          </w:p>
        </w:tc>
        <w:tc>
          <w:tcPr>
            <w:tcW w:w="7672" w:type="dxa"/>
            <w:gridSpan w:val="3"/>
            <w:tcBorders>
              <w:tl2br w:val="nil"/>
              <w:tr2bl w:val="nil"/>
            </w:tcBorders>
            <w:vAlign w:val="top"/>
          </w:tcPr>
          <w:tbl>
            <w:tblPr>
              <w:tblStyle w:val="33"/>
              <w:tblW w:w="9179" w:type="dxa"/>
              <w:tblInd w:w="-63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78"/>
              <w:gridCol w:w="4380"/>
              <w:gridCol w:w="1065"/>
              <w:gridCol w:w="1481"/>
              <w:gridCol w:w="1575"/>
            </w:tblGrid>
            <w:tr w14:paraId="5810A3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5" w:hRule="atLeast"/>
              </w:trPr>
              <w:tc>
                <w:tcPr>
                  <w:tcW w:w="678" w:type="dxa"/>
                  <w:vAlign w:val="center"/>
                </w:tcPr>
                <w:p w14:paraId="13826329">
                  <w:pPr>
                    <w:widowControl/>
                    <w:jc w:val="center"/>
                    <w:rPr>
                      <w:rFonts w:hint="eastAsia" w:ascii="微软雅黑" w:hAnsi="微软雅黑" w:eastAsia="微软雅黑" w:cs="微软雅黑"/>
                      <w:b/>
                      <w:bCs/>
                      <w:color w:val="000000"/>
                      <w:szCs w:val="21"/>
                      <w:lang w:eastAsia="en-US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000000"/>
                      <w:szCs w:val="21"/>
                      <w:lang w:eastAsia="en-US"/>
                    </w:rPr>
                    <w:t>序号</w:t>
                  </w:r>
                </w:p>
              </w:tc>
              <w:tc>
                <w:tcPr>
                  <w:tcW w:w="4380" w:type="dxa"/>
                  <w:vAlign w:val="center"/>
                </w:tcPr>
                <w:p w14:paraId="7C0D0525">
                  <w:pPr>
                    <w:widowControl/>
                    <w:jc w:val="center"/>
                    <w:rPr>
                      <w:rFonts w:hint="eastAsia" w:ascii="微软雅黑" w:hAnsi="微软雅黑" w:eastAsia="微软雅黑" w:cs="微软雅黑"/>
                      <w:b/>
                      <w:bCs/>
                      <w:color w:val="000000"/>
                      <w:szCs w:val="21"/>
                      <w:lang w:eastAsia="en-US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000000"/>
                      <w:szCs w:val="21"/>
                      <w:lang w:eastAsia="en-US"/>
                    </w:rPr>
                    <w:t>议题</w:t>
                  </w:r>
                </w:p>
              </w:tc>
              <w:tc>
                <w:tcPr>
                  <w:tcW w:w="1065" w:type="dxa"/>
                  <w:vAlign w:val="center"/>
                </w:tcPr>
                <w:p w14:paraId="7F151126">
                  <w:pPr>
                    <w:widowControl/>
                    <w:jc w:val="center"/>
                    <w:rPr>
                      <w:rFonts w:hint="eastAsia" w:ascii="微软雅黑" w:hAnsi="微软雅黑" w:eastAsia="微软雅黑" w:cs="微软雅黑"/>
                      <w:b/>
                      <w:bCs/>
                      <w:color w:val="000000"/>
                      <w:szCs w:val="21"/>
                      <w:lang w:eastAsia="en-US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000000"/>
                      <w:szCs w:val="21"/>
                      <w:lang w:eastAsia="en-US"/>
                    </w:rPr>
                    <w:t>汇报人</w:t>
                  </w:r>
                </w:p>
              </w:tc>
              <w:tc>
                <w:tcPr>
                  <w:tcW w:w="1481" w:type="dxa"/>
                  <w:vAlign w:val="center"/>
                </w:tcPr>
                <w:p w14:paraId="25561CAE">
                  <w:pPr>
                    <w:widowControl/>
                    <w:jc w:val="center"/>
                    <w:rPr>
                      <w:rFonts w:hint="eastAsia" w:ascii="微软雅黑" w:hAnsi="微软雅黑" w:eastAsia="微软雅黑" w:cs="微软雅黑"/>
                      <w:b/>
                      <w:bCs/>
                      <w:color w:val="000000"/>
                      <w:szCs w:val="21"/>
                      <w:lang w:eastAsia="en-US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000000"/>
                      <w:szCs w:val="21"/>
                      <w:lang w:eastAsia="en-US"/>
                    </w:rPr>
                    <w:t>时间</w:t>
                  </w:r>
                </w:p>
              </w:tc>
              <w:tc>
                <w:tcPr>
                  <w:tcW w:w="1575" w:type="dxa"/>
                </w:tcPr>
                <w:p w14:paraId="7CD24A38">
                  <w:pPr>
                    <w:widowControl/>
                    <w:jc w:val="center"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</w:pPr>
                </w:p>
              </w:tc>
            </w:tr>
            <w:tr w14:paraId="1636BF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0" w:hRule="atLeast"/>
              </w:trPr>
              <w:tc>
                <w:tcPr>
                  <w:tcW w:w="7604" w:type="dxa"/>
                  <w:gridSpan w:val="4"/>
                  <w:vAlign w:val="center"/>
                </w:tcPr>
                <w:p w14:paraId="091A454E">
                  <w:pPr>
                    <w:widowControl/>
                    <w:jc w:val="both"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000000"/>
                      <w:szCs w:val="21"/>
                      <w:lang w:eastAsia="en-US"/>
                    </w:rPr>
                    <w:t>2026-</w:t>
                  </w: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000000"/>
                      <w:szCs w:val="21"/>
                      <w:lang w:val="en-US" w:eastAsia="zh-CN"/>
                    </w:rPr>
                    <w:t>5</w:t>
                  </w: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000000"/>
                      <w:szCs w:val="21"/>
                      <w:lang w:eastAsia="en-US"/>
                    </w:rPr>
                    <w:t>-</w:t>
                  </w:r>
                  <w:r>
                    <w:rPr>
                      <w:rFonts w:hint="eastAsia" w:ascii="微软雅黑" w:hAnsi="微软雅黑" w:eastAsia="微软雅黑" w:cs="微软雅黑"/>
                      <w:b/>
                      <w:bCs/>
                      <w:color w:val="000000"/>
                      <w:szCs w:val="21"/>
                      <w:lang w:val="en-US" w:eastAsia="zh-CN"/>
                    </w:rPr>
                    <w:t>8</w:t>
                  </w:r>
                </w:p>
              </w:tc>
              <w:tc>
                <w:tcPr>
                  <w:tcW w:w="1575" w:type="dxa"/>
                </w:tcPr>
                <w:p w14:paraId="7D7EE5AE">
                  <w:pPr>
                    <w:widowControl/>
                    <w:jc w:val="center"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</w:pPr>
                </w:p>
              </w:tc>
            </w:tr>
            <w:tr w14:paraId="5D3E8E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8" w:type="dxa"/>
                  <w:vAlign w:val="center"/>
                </w:tcPr>
                <w:p w14:paraId="02B3E1F3">
                  <w:pPr>
                    <w:widowControl/>
                    <w:jc w:val="center"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1</w:t>
                  </w:r>
                </w:p>
              </w:tc>
              <w:tc>
                <w:tcPr>
                  <w:tcW w:w="4380" w:type="dxa"/>
                  <w:vAlign w:val="center"/>
                </w:tcPr>
                <w:p w14:paraId="238E26EA">
                  <w:pPr>
                    <w:widowControl/>
                    <w:jc w:val="both"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en-US"/>
                    </w:rPr>
                    <w:t>深圳民政局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项目</w:t>
                  </w:r>
                </w:p>
              </w:tc>
              <w:tc>
                <w:tcPr>
                  <w:tcW w:w="1065" w:type="dxa"/>
                  <w:vAlign w:val="center"/>
                </w:tcPr>
                <w:p w14:paraId="47AC9F18">
                  <w:pPr>
                    <w:widowControl/>
                    <w:jc w:val="both"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孟钊磊</w:t>
                  </w:r>
                </w:p>
              </w:tc>
              <w:tc>
                <w:tcPr>
                  <w:tcW w:w="1481" w:type="dxa"/>
                  <w:vAlign w:val="center"/>
                </w:tcPr>
                <w:p w14:paraId="1673B76E">
                  <w:pPr>
                    <w:widowControl/>
                    <w:jc w:val="both"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10: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00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-10: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20</w:t>
                  </w:r>
                </w:p>
              </w:tc>
              <w:tc>
                <w:tcPr>
                  <w:tcW w:w="1575" w:type="dxa"/>
                </w:tcPr>
                <w:p w14:paraId="5F2EC7CF">
                  <w:pPr>
                    <w:widowControl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</w:pPr>
                </w:p>
              </w:tc>
            </w:tr>
            <w:tr w14:paraId="784719C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8" w:type="dxa"/>
                  <w:shd w:val="clear" w:color="auto" w:fill="auto"/>
                  <w:vAlign w:val="center"/>
                </w:tcPr>
                <w:p w14:paraId="36A8C71A">
                  <w:pPr>
                    <w:widowControl/>
                    <w:jc w:val="center"/>
                    <w:rPr>
                      <w:rFonts w:hint="eastAsia" w:ascii="微软雅黑" w:hAnsi="微软雅黑" w:eastAsia="微软雅黑" w:cs="微软雅黑"/>
                      <w:color w:val="00000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2</w:t>
                  </w:r>
                </w:p>
              </w:tc>
              <w:tc>
                <w:tcPr>
                  <w:tcW w:w="4380" w:type="dxa"/>
                  <w:shd w:val="clear" w:color="auto" w:fill="auto"/>
                  <w:vAlign w:val="center"/>
                </w:tcPr>
                <w:p w14:paraId="4886C17C">
                  <w:pPr>
                    <w:widowControl/>
                    <w:jc w:val="both"/>
                    <w:rPr>
                      <w:rFonts w:hint="default" w:ascii="微软雅黑" w:hAnsi="微软雅黑" w:eastAsia="微软雅黑" w:cs="微软雅黑"/>
                      <w:color w:val="00000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农业项目</w:t>
                  </w:r>
                </w:p>
              </w:tc>
              <w:tc>
                <w:tcPr>
                  <w:tcW w:w="1065" w:type="dxa"/>
                  <w:shd w:val="clear" w:color="auto" w:fill="auto"/>
                  <w:vAlign w:val="center"/>
                </w:tcPr>
                <w:p w14:paraId="4D4CFBD9">
                  <w:pPr>
                    <w:widowControl/>
                    <w:jc w:val="both"/>
                    <w:rPr>
                      <w:rFonts w:hint="eastAsia" w:ascii="微软雅黑" w:hAnsi="微软雅黑" w:eastAsia="微软雅黑" w:cs="微软雅黑"/>
                      <w:color w:val="00000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kern w:val="2"/>
                      <w:sz w:val="21"/>
                      <w:szCs w:val="21"/>
                      <w:lang w:val="en-US" w:eastAsia="zh-CN" w:bidi="ar-SA"/>
                    </w:rPr>
                    <w:t>李梦翔</w:t>
                  </w:r>
                </w:p>
              </w:tc>
              <w:tc>
                <w:tcPr>
                  <w:tcW w:w="1481" w:type="dxa"/>
                  <w:shd w:val="clear" w:color="auto" w:fill="auto"/>
                  <w:vAlign w:val="center"/>
                </w:tcPr>
                <w:p w14:paraId="368A35F3">
                  <w:pPr>
                    <w:widowControl/>
                    <w:jc w:val="both"/>
                    <w:rPr>
                      <w:rFonts w:hint="eastAsia" w:ascii="微软雅黑" w:hAnsi="微软雅黑" w:eastAsia="微软雅黑" w:cs="微软雅黑"/>
                      <w:color w:val="000000"/>
                      <w:kern w:val="2"/>
                      <w:sz w:val="21"/>
                      <w:szCs w:val="21"/>
                      <w:lang w:val="en-US" w:eastAsia="en-US" w:bidi="ar-SA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10: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20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-10: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30</w:t>
                  </w:r>
                </w:p>
              </w:tc>
              <w:tc>
                <w:tcPr>
                  <w:tcW w:w="1575" w:type="dxa"/>
                </w:tcPr>
                <w:p w14:paraId="4A371906">
                  <w:pPr>
                    <w:widowControl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</w:pPr>
                </w:p>
              </w:tc>
            </w:tr>
            <w:tr w14:paraId="34EE30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8" w:type="dxa"/>
                  <w:shd w:val="clear" w:color="auto" w:fill="auto"/>
                  <w:vAlign w:val="center"/>
                </w:tcPr>
                <w:p w14:paraId="076D27AB">
                  <w:pPr>
                    <w:widowControl/>
                    <w:jc w:val="center"/>
                    <w:rPr>
                      <w:rFonts w:hint="eastAsia" w:ascii="微软雅黑" w:hAnsi="微软雅黑" w:eastAsia="微软雅黑" w:cs="微软雅黑"/>
                      <w:color w:val="000000"/>
                      <w:kern w:val="2"/>
                      <w:sz w:val="21"/>
                      <w:szCs w:val="21"/>
                      <w:lang w:val="en-US" w:eastAsia="zh-CN" w:bidi="ar-SA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3</w:t>
                  </w:r>
                </w:p>
              </w:tc>
              <w:tc>
                <w:tcPr>
                  <w:tcW w:w="4380" w:type="dxa"/>
                  <w:shd w:val="clear" w:color="auto" w:fill="auto"/>
                  <w:vAlign w:val="center"/>
                </w:tcPr>
                <w:p w14:paraId="1FF9D472">
                  <w:pPr>
                    <w:widowControl/>
                    <w:jc w:val="both"/>
                    <w:rPr>
                      <w:rFonts w:hint="eastAsia" w:ascii="微软雅黑" w:hAnsi="微软雅黑" w:eastAsia="微软雅黑" w:cs="微软雅黑"/>
                      <w:color w:val="000000"/>
                      <w:kern w:val="2"/>
                      <w:sz w:val="21"/>
                      <w:szCs w:val="21"/>
                      <w:lang w:val="en-US" w:eastAsia="en-US" w:bidi="ar-SA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鼎捷项目</w:t>
                  </w:r>
                </w:p>
              </w:tc>
              <w:tc>
                <w:tcPr>
                  <w:tcW w:w="1065" w:type="dxa"/>
                  <w:shd w:val="clear" w:color="auto" w:fill="auto"/>
                  <w:vAlign w:val="center"/>
                </w:tcPr>
                <w:p w14:paraId="65D71032">
                  <w:pPr>
                    <w:widowControl/>
                    <w:jc w:val="both"/>
                    <w:rPr>
                      <w:rFonts w:hint="eastAsia" w:ascii="微软雅黑" w:hAnsi="微软雅黑" w:eastAsia="微软雅黑" w:cs="微软雅黑"/>
                      <w:color w:val="000000"/>
                      <w:kern w:val="2"/>
                      <w:sz w:val="21"/>
                      <w:szCs w:val="21"/>
                      <w:lang w:val="en-US" w:eastAsia="en-US" w:bidi="ar-SA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刘星</w:t>
                  </w:r>
                </w:p>
              </w:tc>
              <w:tc>
                <w:tcPr>
                  <w:tcW w:w="1481" w:type="dxa"/>
                  <w:shd w:val="clear" w:color="auto" w:fill="auto"/>
                  <w:vAlign w:val="center"/>
                </w:tcPr>
                <w:p w14:paraId="5327D2E7">
                  <w:pPr>
                    <w:widowControl/>
                    <w:jc w:val="both"/>
                    <w:rPr>
                      <w:rFonts w:hint="eastAsia" w:ascii="微软雅黑" w:hAnsi="微软雅黑" w:eastAsia="微软雅黑" w:cs="微软雅黑"/>
                      <w:color w:val="000000"/>
                      <w:kern w:val="2"/>
                      <w:sz w:val="21"/>
                      <w:szCs w:val="21"/>
                      <w:lang w:val="en-US" w:eastAsia="en-US" w:bidi="ar-SA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10: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30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-10: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40</w:t>
                  </w:r>
                </w:p>
              </w:tc>
              <w:tc>
                <w:tcPr>
                  <w:tcW w:w="1575" w:type="dxa"/>
                </w:tcPr>
                <w:p w14:paraId="04A87243">
                  <w:pPr>
                    <w:widowControl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</w:pPr>
                </w:p>
              </w:tc>
            </w:tr>
            <w:tr w14:paraId="555018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8" w:type="dxa"/>
                  <w:vAlign w:val="center"/>
                </w:tcPr>
                <w:p w14:paraId="148886DF">
                  <w:pPr>
                    <w:widowControl/>
                    <w:jc w:val="center"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4</w:t>
                  </w:r>
                </w:p>
              </w:tc>
              <w:tc>
                <w:tcPr>
                  <w:tcW w:w="4380" w:type="dxa"/>
                  <w:vAlign w:val="center"/>
                </w:tcPr>
                <w:p w14:paraId="54E9E8AA">
                  <w:pPr>
                    <w:widowControl/>
                    <w:jc w:val="both"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中免海南项目</w:t>
                  </w:r>
                </w:p>
              </w:tc>
              <w:tc>
                <w:tcPr>
                  <w:tcW w:w="1065" w:type="dxa"/>
                  <w:vAlign w:val="center"/>
                </w:tcPr>
                <w:p w14:paraId="2299AE86">
                  <w:pPr>
                    <w:widowControl/>
                    <w:jc w:val="both"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王建</w:t>
                  </w:r>
                </w:p>
              </w:tc>
              <w:tc>
                <w:tcPr>
                  <w:tcW w:w="1481" w:type="dxa"/>
                  <w:vAlign w:val="center"/>
                </w:tcPr>
                <w:p w14:paraId="5738CD08">
                  <w:pPr>
                    <w:widowControl/>
                    <w:jc w:val="both"/>
                    <w:rPr>
                      <w:rFonts w:hint="default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10: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40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-1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1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: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00</w:t>
                  </w:r>
                </w:p>
              </w:tc>
              <w:tc>
                <w:tcPr>
                  <w:tcW w:w="1575" w:type="dxa"/>
                </w:tcPr>
                <w:p w14:paraId="20DC3950">
                  <w:pPr>
                    <w:widowControl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</w:pPr>
                </w:p>
              </w:tc>
            </w:tr>
            <w:tr w14:paraId="226733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8" w:type="dxa"/>
                  <w:vAlign w:val="center"/>
                </w:tcPr>
                <w:p w14:paraId="6B35A2A6">
                  <w:pPr>
                    <w:widowControl/>
                    <w:jc w:val="center"/>
                    <w:rPr>
                      <w:rFonts w:hint="default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5</w:t>
                  </w:r>
                </w:p>
              </w:tc>
              <w:tc>
                <w:tcPr>
                  <w:tcW w:w="4380" w:type="dxa"/>
                  <w:vAlign w:val="center"/>
                </w:tcPr>
                <w:p w14:paraId="0D601A90">
                  <w:pPr>
                    <w:widowControl/>
                    <w:jc w:val="both"/>
                    <w:rPr>
                      <w:rFonts w:hint="eastAsia" w:ascii="微软雅黑" w:hAnsi="微软雅黑" w:eastAsia="微软雅黑" w:cs="微软雅黑"/>
                      <w:szCs w:val="21"/>
                      <w:lang w:eastAsia="en-US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Cs w:val="21"/>
                      <w:lang w:eastAsia="en-US"/>
                    </w:rPr>
                    <w:t>中移信息项目</w:t>
                  </w:r>
                </w:p>
              </w:tc>
              <w:tc>
                <w:tcPr>
                  <w:tcW w:w="1065" w:type="dxa"/>
                  <w:vAlign w:val="center"/>
                </w:tcPr>
                <w:p w14:paraId="4C218C12">
                  <w:pPr>
                    <w:widowControl/>
                    <w:jc w:val="both"/>
                    <w:rPr>
                      <w:rFonts w:hint="eastAsia" w:ascii="微软雅黑" w:hAnsi="微软雅黑" w:eastAsia="微软雅黑" w:cs="微软雅黑"/>
                      <w:szCs w:val="21"/>
                      <w:lang w:eastAsia="en-US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Cs w:val="21"/>
                      <w:lang w:eastAsia="en-US"/>
                    </w:rPr>
                    <w:t>田茂钊</w:t>
                  </w:r>
                </w:p>
              </w:tc>
              <w:tc>
                <w:tcPr>
                  <w:tcW w:w="1481" w:type="dxa"/>
                  <w:vAlign w:val="center"/>
                </w:tcPr>
                <w:p w14:paraId="28A3B628">
                  <w:pPr>
                    <w:widowControl/>
                    <w:jc w:val="both"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1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1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: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00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-1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1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: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10</w:t>
                  </w:r>
                </w:p>
              </w:tc>
              <w:tc>
                <w:tcPr>
                  <w:tcW w:w="1575" w:type="dxa"/>
                </w:tcPr>
                <w:p w14:paraId="6BB390A0">
                  <w:pPr>
                    <w:widowControl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</w:pPr>
                </w:p>
              </w:tc>
            </w:tr>
            <w:tr w14:paraId="1DFD65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8" w:type="dxa"/>
                  <w:vAlign w:val="center"/>
                </w:tcPr>
                <w:p w14:paraId="33A655F2">
                  <w:pPr>
                    <w:widowControl/>
                    <w:jc w:val="center"/>
                    <w:rPr>
                      <w:rFonts w:hint="default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6</w:t>
                  </w:r>
                </w:p>
              </w:tc>
              <w:tc>
                <w:tcPr>
                  <w:tcW w:w="4380" w:type="dxa"/>
                  <w:vAlign w:val="center"/>
                </w:tcPr>
                <w:p w14:paraId="49B6B82E">
                  <w:pPr>
                    <w:widowControl/>
                    <w:jc w:val="both"/>
                    <w:rPr>
                      <w:rFonts w:hint="default" w:ascii="微软雅黑" w:hAnsi="微软雅黑" w:eastAsia="微软雅黑" w:cs="微软雅黑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天府再生资源项目</w:t>
                  </w:r>
                </w:p>
              </w:tc>
              <w:tc>
                <w:tcPr>
                  <w:tcW w:w="1065" w:type="dxa"/>
                  <w:vAlign w:val="center"/>
                </w:tcPr>
                <w:p w14:paraId="46735666">
                  <w:pPr>
                    <w:widowControl/>
                    <w:jc w:val="both"/>
                    <w:rPr>
                      <w:rFonts w:hint="eastAsia" w:ascii="微软雅黑" w:hAnsi="微软雅黑" w:eastAsia="微软雅黑" w:cs="微软雅黑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Cs w:val="21"/>
                      <w:lang w:val="en-US" w:eastAsia="zh-CN"/>
                    </w:rPr>
                    <w:t>易波</w:t>
                  </w:r>
                </w:p>
              </w:tc>
              <w:tc>
                <w:tcPr>
                  <w:tcW w:w="1481" w:type="dxa"/>
                  <w:vAlign w:val="center"/>
                </w:tcPr>
                <w:p w14:paraId="50170322">
                  <w:pPr>
                    <w:widowControl/>
                    <w:jc w:val="both"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1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1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: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10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-1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1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: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20</w:t>
                  </w:r>
                </w:p>
              </w:tc>
              <w:tc>
                <w:tcPr>
                  <w:tcW w:w="1575" w:type="dxa"/>
                </w:tcPr>
                <w:p w14:paraId="79D2D864">
                  <w:pPr>
                    <w:widowControl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</w:pPr>
                </w:p>
              </w:tc>
            </w:tr>
            <w:tr w14:paraId="5A7BF8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8" w:type="dxa"/>
                  <w:vAlign w:val="center"/>
                </w:tcPr>
                <w:p w14:paraId="7767C12C">
                  <w:pPr>
                    <w:widowControl/>
                    <w:jc w:val="center"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7</w:t>
                  </w:r>
                </w:p>
              </w:tc>
              <w:tc>
                <w:tcPr>
                  <w:tcW w:w="4380" w:type="dxa"/>
                  <w:vAlign w:val="center"/>
                </w:tcPr>
                <w:p w14:paraId="0303A707">
                  <w:pPr>
                    <w:widowControl/>
                    <w:jc w:val="both"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en-US"/>
                    </w:rPr>
                    <w:t>广东电渠H5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营销小程序项目</w:t>
                  </w:r>
                </w:p>
              </w:tc>
              <w:tc>
                <w:tcPr>
                  <w:tcW w:w="1065" w:type="dxa"/>
                  <w:vAlign w:val="center"/>
                </w:tcPr>
                <w:p w14:paraId="02DF6EA7">
                  <w:pPr>
                    <w:widowControl/>
                    <w:jc w:val="both"/>
                    <w:rPr>
                      <w:rFonts w:hint="default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袁嘉</w:t>
                  </w:r>
                </w:p>
              </w:tc>
              <w:tc>
                <w:tcPr>
                  <w:tcW w:w="1481" w:type="dxa"/>
                  <w:vAlign w:val="center"/>
                </w:tcPr>
                <w:p w14:paraId="6D86F98C">
                  <w:pPr>
                    <w:widowControl/>
                    <w:jc w:val="both"/>
                    <w:rPr>
                      <w:rFonts w:hint="default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1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1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: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20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-1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1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: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30</w:t>
                  </w:r>
                </w:p>
              </w:tc>
              <w:tc>
                <w:tcPr>
                  <w:tcW w:w="1575" w:type="dxa"/>
                </w:tcPr>
                <w:p w14:paraId="6FD488D9">
                  <w:pPr>
                    <w:widowControl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</w:pPr>
                </w:p>
              </w:tc>
            </w:tr>
            <w:tr w14:paraId="1DE7A5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95" w:hRule="atLeast"/>
              </w:trPr>
              <w:tc>
                <w:tcPr>
                  <w:tcW w:w="678" w:type="dxa"/>
                  <w:vAlign w:val="center"/>
                </w:tcPr>
                <w:p w14:paraId="7B841F70">
                  <w:pPr>
                    <w:widowControl/>
                    <w:jc w:val="center"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8</w:t>
                  </w:r>
                </w:p>
              </w:tc>
              <w:tc>
                <w:tcPr>
                  <w:tcW w:w="4380" w:type="dxa"/>
                  <w:vAlign w:val="center"/>
                </w:tcPr>
                <w:p w14:paraId="16B701B4">
                  <w:pPr>
                    <w:widowControl/>
                    <w:jc w:val="both"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en-US"/>
                    </w:rPr>
                    <w:t>河南巴洛克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-中航光电软件平台项目</w:t>
                  </w:r>
                </w:p>
              </w:tc>
              <w:tc>
                <w:tcPr>
                  <w:tcW w:w="1065" w:type="dxa"/>
                  <w:vAlign w:val="center"/>
                </w:tcPr>
                <w:p w14:paraId="05C90D2B">
                  <w:pPr>
                    <w:widowControl/>
                    <w:jc w:val="both"/>
                    <w:rPr>
                      <w:rFonts w:hint="default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向锐</w:t>
                  </w:r>
                </w:p>
              </w:tc>
              <w:tc>
                <w:tcPr>
                  <w:tcW w:w="1481" w:type="dxa"/>
                  <w:vAlign w:val="center"/>
                </w:tcPr>
                <w:p w14:paraId="0D0AD5A2">
                  <w:pPr>
                    <w:widowControl/>
                    <w:jc w:val="both"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1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1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: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30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-1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1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  <w:t>:</w:t>
                  </w:r>
                  <w:r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val="en-US" w:eastAsia="zh-CN"/>
                    </w:rPr>
                    <w:t>40</w:t>
                  </w:r>
                </w:p>
              </w:tc>
              <w:tc>
                <w:tcPr>
                  <w:tcW w:w="1575" w:type="dxa"/>
                </w:tcPr>
                <w:p w14:paraId="73B2655D">
                  <w:pPr>
                    <w:widowControl/>
                    <w:rPr>
                      <w:rFonts w:hint="eastAsia" w:ascii="微软雅黑" w:hAnsi="微软雅黑" w:eastAsia="微软雅黑" w:cs="微软雅黑"/>
                      <w:color w:val="000000"/>
                      <w:szCs w:val="21"/>
                      <w:lang w:eastAsia="en-US"/>
                    </w:rPr>
                  </w:pPr>
                </w:p>
              </w:tc>
            </w:tr>
          </w:tbl>
          <w:p w14:paraId="4FA6E452">
            <w:pPr>
              <w:rPr>
                <w:rFonts w:hint="eastAsia" w:ascii="微软雅黑" w:hAnsi="微软雅黑" w:eastAsia="微软雅黑" w:cs="微软雅黑"/>
                <w:b w:val="0"/>
                <w:sz w:val="21"/>
              </w:rPr>
            </w:pPr>
          </w:p>
        </w:tc>
      </w:tr>
    </w:tbl>
    <w:p w14:paraId="3ECA964A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一、各项目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排产</w:t>
      </w:r>
      <w:r>
        <w:rPr>
          <w:rFonts w:hint="eastAsia" w:ascii="微软雅黑" w:hAnsi="微软雅黑" w:eastAsia="微软雅黑" w:cs="微软雅黑"/>
          <w:color w:val="auto"/>
        </w:rPr>
        <w:t>汇报</w:t>
      </w:r>
    </w:p>
    <w:p w14:paraId="1709816D">
      <w:pPr>
        <w:pStyle w:val="4"/>
        <w:rPr>
          <w:rFonts w:hint="eastAsia" w:ascii="微软雅黑" w:hAnsi="微软雅黑" w:eastAsia="微软雅黑" w:cs="微软雅黑"/>
          <w:b w:val="0"/>
          <w:b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</w:rPr>
        <w:t>1. 深圳移动-2026年-深圳民政局政务服务能力提升项目（PM：孟钊磊）</w:t>
      </w:r>
    </w:p>
    <w:p w14:paraId="079DF2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（1）项目进展：</w:t>
      </w:r>
      <w:r>
        <w:rPr>
          <w:rFonts w:hint="eastAsia" w:ascii="微软雅黑" w:hAnsi="微软雅黑" w:eastAsia="微软雅黑" w:cs="微软雅黑"/>
          <w:sz w:val="21"/>
        </w:rPr>
        <w:t>项目体量较大，排产计划细致，开发一块完成后即安排测试一块推进，开发测试穿插进行。部署工作涉及与前置系统和民政系统之间的网关打通，由</w:t>
      </w:r>
      <w:r>
        <w:rPr>
          <w:rFonts w:hint="eastAsia" w:ascii="微软雅黑" w:hAnsi="微软雅黑" w:eastAsia="微软雅黑" w:cs="微软雅黑"/>
          <w:sz w:val="21"/>
          <w:lang w:val="en-US" w:eastAsia="zh-CN"/>
        </w:rPr>
        <w:t>建峰</w:t>
      </w:r>
      <w:r>
        <w:rPr>
          <w:rFonts w:hint="eastAsia" w:ascii="微软雅黑" w:hAnsi="微软雅黑" w:eastAsia="微软雅黑" w:cs="微软雅黑"/>
          <w:sz w:val="21"/>
        </w:rPr>
        <w:t>负责。</w:t>
      </w:r>
    </w:p>
    <w:p w14:paraId="715645F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（2）人员情况：</w:t>
      </w:r>
      <w:r>
        <w:rPr>
          <w:rFonts w:hint="eastAsia" w:ascii="微软雅黑" w:hAnsi="微软雅黑" w:eastAsia="微软雅黑" w:cs="微软雅黑"/>
          <w:sz w:val="21"/>
        </w:rPr>
        <w:t>团队规模9人（含张燕0.49人天），与上月持平（上月8人+崔业伟）。</w:t>
      </w:r>
      <w:r>
        <w:rPr>
          <w:rFonts w:hint="eastAsia" w:ascii="微软雅黑" w:hAnsi="微软雅黑" w:eastAsia="微软雅黑" w:cs="微软雅黑"/>
          <w:sz w:val="21"/>
          <w:lang w:val="en-US" w:eastAsia="zh-CN"/>
        </w:rPr>
        <w:t>万</w:t>
      </w:r>
      <w:r>
        <w:rPr>
          <w:rFonts w:hint="eastAsia" w:ascii="微软雅黑" w:hAnsi="微软雅黑" w:eastAsia="微软雅黑" w:cs="微软雅黑"/>
          <w:sz w:val="21"/>
        </w:rPr>
        <w:t>亚东5月未排入本项目，经确认暂不使用，避免与其他项目工时冲突。</w:t>
      </w:r>
    </w:p>
    <w:p w14:paraId="6E84429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（3）成本与毛利：</w:t>
      </w:r>
      <w:r>
        <w:rPr>
          <w:rFonts w:hint="eastAsia" w:ascii="微软雅黑" w:hAnsi="微软雅黑" w:eastAsia="微软雅黑" w:cs="微软雅黑"/>
          <w:sz w:val="21"/>
        </w:rPr>
        <w:t>按目前投入预估毛利约30%</w:t>
      </w:r>
      <w:r>
        <w:rPr>
          <w:rFonts w:hint="eastAsia" w:ascii="微软雅黑" w:hAnsi="微软雅黑" w:eastAsia="微软雅黑" w:cs="微软雅黑"/>
          <w:sz w:val="21"/>
          <w:lang w:val="en-US" w:eastAsia="zh-CN"/>
        </w:rPr>
        <w:t>左右</w:t>
      </w:r>
      <w:r>
        <w:rPr>
          <w:rFonts w:hint="eastAsia" w:ascii="微软雅黑" w:hAnsi="微软雅黑" w:eastAsia="微软雅黑" w:cs="微软雅黑"/>
          <w:sz w:val="21"/>
        </w:rPr>
        <w:t>。</w:t>
      </w:r>
    </w:p>
    <w:p w14:paraId="2DEA9520">
      <w:pPr>
        <w:pStyle w:val="4"/>
        <w:rPr>
          <w:rFonts w:hint="eastAsia" w:ascii="微软雅黑" w:hAnsi="微软雅黑" w:eastAsia="微软雅黑" w:cs="微软雅黑"/>
          <w:b w:val="0"/>
          <w:b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</w:rPr>
        <w:t>2. 农业项目群（PM：丁召海）</w:t>
      </w:r>
    </w:p>
    <w:p w14:paraId="18777E1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（1）项目进展：</w:t>
      </w:r>
      <w:r>
        <w:rPr>
          <w:rFonts w:hint="eastAsia" w:ascii="微软雅黑" w:hAnsi="微软雅黑" w:eastAsia="微软雅黑" w:cs="微软雅黑"/>
          <w:sz w:val="21"/>
        </w:rPr>
        <w:t>农业开发主要分两块：①牧数查APP二期开发（PC端完善及数据登记）；②农业信息采集系统建设（含驻场运维和日常运维）。团队共11人，开发主要由杨晓明、</w:t>
      </w:r>
      <w:r>
        <w:rPr>
          <w:rFonts w:hint="eastAsia" w:ascii="微软雅黑" w:hAnsi="微软雅黑" w:eastAsia="微软雅黑" w:cs="微软雅黑"/>
          <w:sz w:val="21"/>
          <w:lang w:val="en-US" w:eastAsia="zh-CN"/>
        </w:rPr>
        <w:t>戈</w:t>
      </w:r>
      <w:r>
        <w:rPr>
          <w:rFonts w:hint="eastAsia" w:ascii="微软雅黑" w:hAnsi="微软雅黑" w:eastAsia="微软雅黑" w:cs="微软雅黑"/>
          <w:sz w:val="21"/>
        </w:rPr>
        <w:t>勇负责。驻场运维由</w:t>
      </w:r>
      <w:r>
        <w:rPr>
          <w:rFonts w:hint="eastAsia" w:ascii="微软雅黑" w:hAnsi="微软雅黑" w:eastAsia="微软雅黑" w:cs="微软雅黑"/>
          <w:sz w:val="21"/>
          <w:lang w:val="en-US" w:eastAsia="zh-CN"/>
        </w:rPr>
        <w:t>剑锋</w:t>
      </w:r>
      <w:r>
        <w:rPr>
          <w:rFonts w:hint="eastAsia" w:ascii="微软雅黑" w:hAnsi="微软雅黑" w:eastAsia="微软雅黑" w:cs="微软雅黑"/>
          <w:sz w:val="21"/>
        </w:rPr>
        <w:t>总与</w:t>
      </w:r>
      <w:r>
        <w:rPr>
          <w:rFonts w:hint="eastAsia" w:ascii="微软雅黑" w:hAnsi="微软雅黑" w:eastAsia="微软雅黑" w:cs="微软雅黑"/>
          <w:sz w:val="21"/>
          <w:lang w:val="en-US" w:eastAsia="zh-CN"/>
        </w:rPr>
        <w:t>沙</w:t>
      </w:r>
      <w:r>
        <w:rPr>
          <w:rFonts w:hint="eastAsia" w:ascii="微软雅黑" w:hAnsi="微软雅黑" w:eastAsia="微软雅黑" w:cs="微软雅黑"/>
          <w:sz w:val="21"/>
        </w:rPr>
        <w:t>总跟信息中心王处沟通后拆分为驻场运维和日常运维，驻场有王金</w:t>
      </w:r>
      <w:r>
        <w:rPr>
          <w:rFonts w:hint="eastAsia" w:ascii="微软雅黑" w:hAnsi="微软雅黑" w:eastAsia="微软雅黑" w:cs="微软雅黑"/>
          <w:sz w:val="21"/>
          <w:lang w:val="en-US" w:eastAsia="zh-CN"/>
        </w:rPr>
        <w:t>玲</w:t>
      </w:r>
      <w:r>
        <w:rPr>
          <w:rFonts w:hint="eastAsia" w:ascii="微软雅黑" w:hAnsi="微软雅黑" w:eastAsia="微软雅黑" w:cs="微软雅黑"/>
          <w:sz w:val="21"/>
        </w:rPr>
        <w:t>、李俊超、李楠专职负责。中监所项目由高巍负责。</w:t>
      </w:r>
    </w:p>
    <w:p w14:paraId="16D1EDE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（2）5月收入预测：</w:t>
      </w:r>
      <w:r>
        <w:rPr>
          <w:rFonts w:hint="eastAsia" w:ascii="微软雅黑" w:hAnsi="微软雅黑" w:eastAsia="微软雅黑" w:cs="微软雅黑"/>
          <w:sz w:val="21"/>
        </w:rPr>
        <w:t>预计约28万（基本跟上月22万持平），若国产化项目落地可能提升至28万左右。4月实际收入约21万。</w:t>
      </w:r>
    </w:p>
    <w:p w14:paraId="30C2337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（3）成本与盈利：</w:t>
      </w:r>
      <w:r>
        <w:rPr>
          <w:rFonts w:hint="eastAsia" w:ascii="微软雅黑" w:hAnsi="微软雅黑" w:eastAsia="微软雅黑" w:cs="微软雅黑"/>
          <w:sz w:val="21"/>
        </w:rPr>
        <w:t>4月新增</w:t>
      </w:r>
      <w:r>
        <w:rPr>
          <w:rFonts w:hint="eastAsia" w:ascii="微软雅黑" w:hAnsi="微软雅黑" w:eastAsia="微软雅黑" w:cs="微软雅黑"/>
          <w:sz w:val="21"/>
          <w:lang w:eastAsia="zh-CN"/>
        </w:rPr>
        <w:t>王金玲</w:t>
      </w:r>
      <w:r>
        <w:rPr>
          <w:rFonts w:hint="eastAsia" w:ascii="微软雅黑" w:hAnsi="微软雅黑" w:eastAsia="微软雅黑" w:cs="微软雅黑"/>
          <w:sz w:val="21"/>
        </w:rPr>
        <w:t>，成本上升导致收入无法覆盖成本。崔哲指出这是老问题，需关注后续项目稳定性和收入保证。</w:t>
      </w:r>
    </w:p>
    <w:p w14:paraId="4DCF3D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（4）</w:t>
      </w:r>
      <w:bookmarkStart w:id="0" w:name="_GoBack"/>
      <w:r>
        <w:rPr>
          <w:rFonts w:hint="eastAsia" w:ascii="微软雅黑" w:hAnsi="微软雅黑" w:eastAsia="微软雅黑" w:cs="微软雅黑"/>
          <w:b/>
          <w:sz w:val="21"/>
        </w:rPr>
        <w:t>国产化项目：</w:t>
      </w:r>
      <w:r>
        <w:rPr>
          <w:rFonts w:hint="eastAsia" w:ascii="微软雅黑" w:hAnsi="微软雅黑" w:eastAsia="微软雅黑" w:cs="微软雅黑"/>
          <w:sz w:val="21"/>
        </w:rPr>
        <w:t>含采集系统国产化和全国畜牧总站运维国产化两块，预计下半年签下来，收入约100多万，预计6月份能签</w:t>
      </w:r>
      <w:bookmarkEnd w:id="0"/>
      <w:r>
        <w:rPr>
          <w:rFonts w:hint="eastAsia" w:ascii="微软雅黑" w:hAnsi="微软雅黑" w:eastAsia="微软雅黑" w:cs="微软雅黑"/>
          <w:sz w:val="21"/>
        </w:rPr>
        <w:t>。</w:t>
      </w:r>
    </w:p>
    <w:p w14:paraId="079977E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（5）农业科研项目验收：</w:t>
      </w:r>
      <w:r>
        <w:rPr>
          <w:rFonts w:hint="eastAsia" w:ascii="微软雅黑" w:hAnsi="微软雅黑" w:eastAsia="微软雅黑" w:cs="微软雅黑"/>
          <w:sz w:val="21"/>
        </w:rPr>
        <w:t>大课题验收预计5月中下旬组织，我司配合即可，不影响结项。项目款项已提前到账。</w:t>
      </w:r>
    </w:p>
    <w:p w14:paraId="2511BB54">
      <w:pPr>
        <w:pStyle w:val="4"/>
        <w:rPr>
          <w:rFonts w:hint="eastAsia" w:ascii="微软雅黑" w:hAnsi="微软雅黑" w:eastAsia="微软雅黑" w:cs="微软雅黑"/>
          <w:b w:val="0"/>
          <w:b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</w:rPr>
        <w:t>3. 鼎捷项目（PM：李梦翔）</w:t>
      </w:r>
    </w:p>
    <w:p w14:paraId="294A64F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（1）项目进展：</w:t>
      </w:r>
      <w:r>
        <w:rPr>
          <w:rFonts w:hint="eastAsia" w:ascii="微软雅黑" w:hAnsi="微软雅黑" w:eastAsia="微软雅黑" w:cs="微软雅黑"/>
          <w:sz w:val="21"/>
        </w:rPr>
        <w:t>5月因五一假期实际产出较4月减少，预期约400工时。目标收入20万。排产按4月20日至5月20日滚动计算，非整月形式，每周任务需求变动。</w:t>
      </w:r>
    </w:p>
    <w:p w14:paraId="5ADD080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（2）收入与成本：</w:t>
      </w:r>
      <w:r>
        <w:rPr>
          <w:rFonts w:hint="eastAsia" w:ascii="微软雅黑" w:hAnsi="微软雅黑" w:eastAsia="微软雅黑" w:cs="微软雅黑"/>
          <w:sz w:val="21"/>
        </w:rPr>
        <w:t>1-4月累计产出约17万，总体亏损。保本线为每月约5.4万。5月目标400工时，6月目标440工时。单价约17,000元/人月。</w:t>
      </w:r>
    </w:p>
    <w:p w14:paraId="777FC38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（3）建议：</w:t>
      </w:r>
      <w:r>
        <w:rPr>
          <w:rFonts w:hint="eastAsia" w:ascii="微软雅黑" w:hAnsi="微软雅黑" w:eastAsia="微软雅黑" w:cs="微软雅黑"/>
          <w:sz w:val="21"/>
        </w:rPr>
        <w:t>沙建银要求务必盯紧客户需求，多争取工作量，冲刺目标。崔哲提示如人员有不饱满风险，第一时间提出，协调其他项目覆盖成本。李梦翔承诺每周跟客户接口人要活并汇报。</w:t>
      </w:r>
    </w:p>
    <w:p w14:paraId="637875AE">
      <w:pPr>
        <w:pStyle w:val="4"/>
        <w:rPr>
          <w:rFonts w:hint="eastAsia" w:ascii="微软雅黑" w:hAnsi="微软雅黑" w:eastAsia="微软雅黑" w:cs="微软雅黑"/>
          <w:b w:val="0"/>
          <w:b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</w:rPr>
        <w:t>4. 中免海南-2026年一站通项目系统开发服务项目（PM：王建/秦韩）</w:t>
      </w:r>
    </w:p>
    <w:p w14:paraId="162022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（1）项目进展（王建汇报研发侧）：</w:t>
      </w:r>
      <w:r>
        <w:rPr>
          <w:rFonts w:hint="eastAsia" w:ascii="微软雅黑" w:hAnsi="微软雅黑" w:eastAsia="微软雅黑" w:cs="微软雅黑"/>
          <w:sz w:val="21"/>
        </w:rPr>
        <w:t>5月团队18人。近期完成教育部上线。5月研发重点包括：①标签优化方案、标签体系二期二阶段方案设计（景超负责）；消息处档案归集方案（兵哥负责）；③订单号迁移方案（骁龙负责）；④历史数据迁移方案。EOP账号刚接入，ubup系统订单接入后续推进。5月14日集中上线。导入功能需求有变动，需重新安排上线时间。AI工具已全员推广使用，部分人用得较熟，提示词和规则不断完善中。</w:t>
      </w:r>
    </w:p>
    <w:p w14:paraId="561E93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（2）项目进展（秦韩汇报产品侧）：</w:t>
      </w:r>
      <w:r>
        <w:rPr>
          <w:rFonts w:hint="eastAsia" w:ascii="微软雅黑" w:hAnsi="微软雅黑" w:eastAsia="微软雅黑" w:cs="微软雅黑"/>
          <w:sz w:val="21"/>
        </w:rPr>
        <w:t>5月投入7人（1产品+2前端+3后端+1测试），需求已基本排满。</w:t>
      </w:r>
    </w:p>
    <w:p w14:paraId="38397E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（3）成本与盈利（重大问题）：</w:t>
      </w:r>
      <w:r>
        <w:rPr>
          <w:rFonts w:hint="eastAsia" w:ascii="微软雅黑" w:hAnsi="微软雅黑" w:eastAsia="微软雅黑" w:cs="微软雅黑"/>
          <w:sz w:val="21"/>
        </w:rPr>
        <w:t>截止4月项目进度仅约20-30%（非系统填报的70%），收入约53万，成本超60万，项目大概率亏损。80万预算无法覆盖500万工作量。沙建银要求：①王建需发邮件申请追加5-6月预算，邮件需有量化数据支撑，说明为什么不够、怎么省着用；②从节流角度思考人员压缩、复用计划；从开源角度与客户沟通需求范围精简或增补费用；③排产表需真实反映加班情况。</w:t>
      </w:r>
    </w:p>
    <w:p w14:paraId="28A6D9E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（4）排产要求：</w:t>
      </w:r>
      <w:r>
        <w:rPr>
          <w:rFonts w:hint="eastAsia" w:ascii="微软雅黑" w:hAnsi="微软雅黑" w:eastAsia="微软雅黑" w:cs="微软雅黑"/>
          <w:sz w:val="21"/>
        </w:rPr>
        <w:t>沙建银要求王建和秦韩统一纳管排单表（25-27人规模），真实排产，不敷衍。沙建银本周内仔细研究排产表，下周与</w:t>
      </w:r>
      <w:r>
        <w:rPr>
          <w:rFonts w:hint="eastAsia" w:ascii="微软雅黑" w:hAnsi="微软雅黑" w:eastAsia="微软雅黑" w:cs="微软雅黑"/>
          <w:sz w:val="21"/>
          <w:lang w:eastAsia="zh-CN"/>
        </w:rPr>
        <w:t>宇总</w:t>
      </w:r>
      <w:r>
        <w:rPr>
          <w:rFonts w:hint="eastAsia" w:ascii="微软雅黑" w:hAnsi="微软雅黑" w:eastAsia="微软雅黑" w:cs="微软雅黑"/>
          <w:sz w:val="21"/>
        </w:rPr>
        <w:t>逐个对。</w:t>
      </w:r>
      <w:r>
        <w:rPr>
          <w:rFonts w:hint="eastAsia" w:ascii="微软雅黑" w:hAnsi="微软雅黑" w:eastAsia="微软雅黑" w:cs="微软雅黑"/>
          <w:sz w:val="21"/>
          <w:lang w:eastAsia="zh-CN"/>
        </w:rPr>
        <w:t>宇总</w:t>
      </w:r>
      <w:r>
        <w:rPr>
          <w:rFonts w:hint="eastAsia" w:ascii="微软雅黑" w:hAnsi="微软雅黑" w:eastAsia="微软雅黑" w:cs="微软雅黑"/>
          <w:sz w:val="21"/>
        </w:rPr>
        <w:t>要求FP项目不允许外包人员，需邮件报备审批。</w:t>
      </w:r>
    </w:p>
    <w:p w14:paraId="6C0AA06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（5）管理调整：</w:t>
      </w:r>
      <w:r>
        <w:rPr>
          <w:rFonts w:hint="eastAsia" w:ascii="微软雅黑" w:hAnsi="微软雅黑" w:eastAsia="微软雅黑" w:cs="微软雅黑"/>
          <w:sz w:val="21"/>
        </w:rPr>
        <w:t>于总要求产品归秦海统筹、研发归王建统筹，拉通作为统一项目管控，不再分两个团队单独汇报。</w:t>
      </w:r>
    </w:p>
    <w:p w14:paraId="2B163D7E">
      <w:pPr>
        <w:pStyle w:val="4"/>
        <w:rPr>
          <w:rFonts w:hint="eastAsia" w:ascii="微软雅黑" w:hAnsi="微软雅黑" w:eastAsia="微软雅黑" w:cs="微软雅黑"/>
          <w:b w:val="0"/>
          <w:b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</w:rPr>
        <w:t>5. 中移信息-一级充值支付中心系统开发项目（PM：田茂钊）</w:t>
      </w:r>
    </w:p>
    <w:p w14:paraId="62B2F2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（1）项目进展：</w:t>
      </w:r>
      <w:r>
        <w:rPr>
          <w:rFonts w:hint="eastAsia" w:ascii="微软雅黑" w:hAnsi="微软雅黑" w:eastAsia="微软雅黑" w:cs="微软雅黑"/>
          <w:sz w:val="21"/>
        </w:rPr>
        <w:t>排产主要含新业务框架合同需求接入和工程需求接入。25年工程处于验收阶段，有小问题需整改。26年工程含加解密改造，因工信部5月检查要求，5月安排了加班负荷。26年工程项目暂未立项，公司考核6月立项，5月必须完成立项。新业务框架需求不稳定，临时插入调整较多。</w:t>
      </w:r>
    </w:p>
    <w:p w14:paraId="25E2942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（2）AI使用情况：</w:t>
      </w:r>
      <w:r>
        <w:rPr>
          <w:rFonts w:hint="eastAsia" w:ascii="微软雅黑" w:hAnsi="微软雅黑" w:eastAsia="微软雅黑" w:cs="微软雅黑"/>
          <w:sz w:val="21"/>
        </w:rPr>
        <w:t>团队14-15人正使用AI工具，文档类用国内大模型，开发类使用已购账号。移动有强制考核要求使用移动自营AI。</w:t>
      </w:r>
    </w:p>
    <w:p w14:paraId="1EB0214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（3）遗留：</w:t>
      </w:r>
      <w:r>
        <w:rPr>
          <w:rFonts w:hint="eastAsia" w:ascii="微软雅黑" w:hAnsi="微软雅黑" w:eastAsia="微软雅黑" w:cs="微软雅黑"/>
          <w:sz w:val="21"/>
        </w:rPr>
        <w:t>截止4月整体收入和成本数据尚未核算，工程类项目不好算。新业务框架已签但移动立项流程还在走。</w:t>
      </w:r>
    </w:p>
    <w:p w14:paraId="6151C0FA">
      <w:pPr>
        <w:pStyle w:val="4"/>
        <w:rPr>
          <w:rFonts w:hint="eastAsia" w:ascii="微软雅黑" w:hAnsi="微软雅黑" w:eastAsia="微软雅黑" w:cs="微软雅黑"/>
          <w:b w:val="0"/>
          <w:b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</w:rPr>
        <w:t>6. 天府再生资源-云平台建设服务项目（PM：易波）</w:t>
      </w:r>
    </w:p>
    <w:p w14:paraId="1ED596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（1）项目进展：</w:t>
      </w:r>
      <w:r>
        <w:rPr>
          <w:rFonts w:hint="eastAsia" w:ascii="微软雅黑" w:hAnsi="微软雅黑" w:eastAsia="微软雅黑" w:cs="微软雅黑"/>
          <w:sz w:val="21"/>
        </w:rPr>
        <w:t>5月主要在做需求整改，产品调整后重新开发。前端3人分工推进，后端1人支撑接口。暂时无专职测试，测试任务临时抽调。5月大部分需求开发完，6月集中修复问题单。实际交付进度70%+，5月目标85%。团队6人。</w:t>
      </w:r>
    </w:p>
    <w:p w14:paraId="71D4ACF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（2）成本问题：</w:t>
      </w:r>
      <w:r>
        <w:rPr>
          <w:rFonts w:hint="eastAsia" w:ascii="微软雅黑" w:hAnsi="微软雅黑" w:eastAsia="微软雅黑" w:cs="微软雅黑"/>
          <w:sz w:val="21"/>
        </w:rPr>
        <w:t>前期人力规划填了15人但实际只投入约6人，导致成本预算越堆越大。汪秀娟提醒：已发生的无法调整，后续需及时调资源规划，不能立项后就不管。滚动预测未来成本约25万，项目金额262万，预算够用。</w:t>
      </w:r>
    </w:p>
    <w:p w14:paraId="46F50224">
      <w:pPr>
        <w:pStyle w:val="4"/>
        <w:rPr>
          <w:rFonts w:hint="eastAsia" w:ascii="微软雅黑" w:hAnsi="微软雅黑" w:eastAsia="微软雅黑" w:cs="微软雅黑"/>
          <w:b w:val="0"/>
          <w:b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</w:rPr>
        <w:t>7. 中国移动广东公司-电子渠道H5项目（PM：袁嘉）</w:t>
      </w:r>
    </w:p>
    <w:p w14:paraId="636A45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（1）项目进展：</w:t>
      </w:r>
      <w:r>
        <w:rPr>
          <w:rFonts w:hint="eastAsia" w:ascii="微软雅黑" w:hAnsi="微软雅黑" w:eastAsia="微软雅黑" w:cs="微软雅黑"/>
          <w:sz w:val="21"/>
        </w:rPr>
        <w:t>4月接单约16.6万，比3月减少（3月有十几万小程序大需求）。截止4月26日计算（后接五一假期），人员排产较满，无空闲情况。团队8人。</w:t>
      </w:r>
    </w:p>
    <w:p w14:paraId="6B1EC8C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（2）成本：</w:t>
      </w:r>
      <w:r>
        <w:rPr>
          <w:rFonts w:hint="eastAsia" w:ascii="微软雅黑" w:hAnsi="微软雅黑" w:eastAsia="微软雅黑" w:cs="微软雅黑"/>
          <w:sz w:val="21"/>
        </w:rPr>
        <w:t>成本维持在约13万/月，毛利达标。收入未全报到919项目（有分包项目）。崔哲提示月度收入波动需在排产表上体现加班情况。</w:t>
      </w:r>
    </w:p>
    <w:p w14:paraId="3BB49077">
      <w:pPr>
        <w:pStyle w:val="4"/>
        <w:rPr>
          <w:rFonts w:hint="eastAsia" w:ascii="微软雅黑" w:hAnsi="微软雅黑" w:eastAsia="微软雅黑" w:cs="微软雅黑"/>
          <w:b w:val="0"/>
          <w:bCs w:val="0"/>
          <w:color w:val="auto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</w:rPr>
        <w:t>8. 河南巴洛克+成都鼎桥项目（PM：向锐）</w:t>
      </w:r>
    </w:p>
    <w:p w14:paraId="6C0E3B8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（1）项目进展：</w:t>
      </w:r>
      <w:r>
        <w:rPr>
          <w:rFonts w:hint="eastAsia" w:ascii="微软雅黑" w:hAnsi="微软雅黑" w:eastAsia="微软雅黑" w:cs="微软雅黑"/>
          <w:sz w:val="21"/>
        </w:rPr>
        <w:t>两个项目揉在一起排产。巴洛克项目因客户搬场地装修，前期只投1人暂停，本月验收时把之前欠的补上。鼎桥项目毛利率14.34%，达到临界值13%。</w:t>
      </w:r>
    </w:p>
    <w:p w14:paraId="1A7BFC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（2）后续：</w:t>
      </w:r>
      <w:r>
        <w:rPr>
          <w:rFonts w:hint="eastAsia" w:ascii="微软雅黑" w:hAnsi="微软雅黑" w:eastAsia="微软雅黑" w:cs="微软雅黑"/>
          <w:sz w:val="21"/>
        </w:rPr>
        <w:t>验收完成后，产出后面两个月可以直接报。之前因进度原因未报上去的收入后续补上。</w:t>
      </w:r>
    </w:p>
    <w:p w14:paraId="7425BA51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二、遗留事项/待办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9"/>
        <w:gridCol w:w="5280"/>
        <w:gridCol w:w="1541"/>
      </w:tblGrid>
      <w:tr w14:paraId="39CA6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  <w:jc w:val="center"/>
        </w:trPr>
        <w:tc>
          <w:tcPr>
            <w:tcW w:w="1819" w:type="dxa"/>
            <w:shd w:val="clear" w:color="auto" w:fill="DCE6F2" w:themeFill="accent1" w:themeFillTint="32"/>
            <w:vAlign w:val="center"/>
          </w:tcPr>
          <w:p w14:paraId="215551D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项目</w:t>
            </w:r>
          </w:p>
        </w:tc>
        <w:tc>
          <w:tcPr>
            <w:tcW w:w="5280" w:type="dxa"/>
            <w:shd w:val="clear" w:color="auto" w:fill="DCE6F2" w:themeFill="accent1" w:themeFillTint="32"/>
            <w:vAlign w:val="center"/>
          </w:tcPr>
          <w:p w14:paraId="584C2A4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遗留问题/待办事项</w:t>
            </w:r>
          </w:p>
        </w:tc>
        <w:tc>
          <w:tcPr>
            <w:tcW w:w="1541" w:type="dxa"/>
            <w:shd w:val="clear" w:color="auto" w:fill="DCE6F2" w:themeFill="accent1" w:themeFillTint="32"/>
            <w:vAlign w:val="center"/>
          </w:tcPr>
          <w:p w14:paraId="626257D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责任人</w:t>
            </w:r>
          </w:p>
        </w:tc>
      </w:tr>
      <w:tr w14:paraId="606E2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9" w:type="dxa"/>
          </w:tcPr>
          <w:p w14:paraId="31B5B3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深圳民政局项目</w:t>
            </w:r>
          </w:p>
        </w:tc>
        <w:tc>
          <w:tcPr>
            <w:tcW w:w="5280" w:type="dxa"/>
          </w:tcPr>
          <w:p w14:paraId="07A6ED5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  <w:lang w:val="en-US" w:eastAsia="zh-CN"/>
              </w:rPr>
              <w:t>万</w:t>
            </w: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亚东5月排产需确认是否复用（目前暂未使用）</w:t>
            </w:r>
          </w:p>
        </w:tc>
        <w:tc>
          <w:tcPr>
            <w:tcW w:w="1541" w:type="dxa"/>
          </w:tcPr>
          <w:p w14:paraId="452F778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孟钊磊</w:t>
            </w:r>
          </w:p>
        </w:tc>
      </w:tr>
      <w:tr w14:paraId="19A78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19" w:type="dxa"/>
          </w:tcPr>
          <w:p w14:paraId="1D5C02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农业项目群</w:t>
            </w:r>
          </w:p>
        </w:tc>
        <w:tc>
          <w:tcPr>
            <w:tcW w:w="5280" w:type="dxa"/>
          </w:tcPr>
          <w:p w14:paraId="5773C7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关注后续项目稳定性和收入保证；国产化项目6月签单推进；驻场运维提前投入需确保客户买单</w:t>
            </w:r>
          </w:p>
        </w:tc>
        <w:tc>
          <w:tcPr>
            <w:tcW w:w="1541" w:type="dxa"/>
          </w:tcPr>
          <w:p w14:paraId="0E7FE92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丁召海</w:t>
            </w:r>
          </w:p>
        </w:tc>
      </w:tr>
      <w:tr w14:paraId="3FF76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9" w:type="dxa"/>
          </w:tcPr>
          <w:p w14:paraId="391FBD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鼎捷项目</w:t>
            </w:r>
          </w:p>
        </w:tc>
        <w:tc>
          <w:tcPr>
            <w:tcW w:w="5280" w:type="dxa"/>
          </w:tcPr>
          <w:p w14:paraId="5370EF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务必要多向客户争取工作量，每月冲刺400-440工时目标，确保上半年能勉强达标</w:t>
            </w:r>
          </w:p>
        </w:tc>
        <w:tc>
          <w:tcPr>
            <w:tcW w:w="1541" w:type="dxa"/>
          </w:tcPr>
          <w:p w14:paraId="7B863D4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李梦翔</w:t>
            </w:r>
          </w:p>
        </w:tc>
      </w:tr>
      <w:tr w14:paraId="7A7BE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9" w:type="dxa"/>
          </w:tcPr>
          <w:p w14:paraId="2964B93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中免海南项目</w:t>
            </w:r>
          </w:p>
        </w:tc>
        <w:tc>
          <w:tcPr>
            <w:tcW w:w="5280" w:type="dxa"/>
          </w:tcPr>
          <w:p w14:paraId="1BB0B01E">
            <w:pPr>
              <w:rPr>
                <w:rFonts w:hint="eastAsia" w:ascii="微软雅黑" w:hAnsi="微软雅黑" w:eastAsia="微软雅黑" w:cs="微软雅黑"/>
                <w:b w:val="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①发邮件申请追加5-6月预算，附量化数据支撑；</w:t>
            </w:r>
          </w:p>
          <w:p w14:paraId="66AC7139">
            <w:pPr>
              <w:rPr>
                <w:rFonts w:hint="eastAsia" w:ascii="微软雅黑" w:hAnsi="微软雅黑" w:eastAsia="微软雅黑" w:cs="微软雅黑"/>
                <w:b w:val="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②制定人员压缩/复用计划；</w:t>
            </w:r>
          </w:p>
          <w:p w14:paraId="6B8158EA">
            <w:pPr>
              <w:rPr>
                <w:rFonts w:hint="eastAsia" w:ascii="微软雅黑" w:hAnsi="微软雅黑" w:eastAsia="微软雅黑" w:cs="微软雅黑"/>
                <w:b w:val="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③与客户沟通需求范围精简或增补费用；</w:t>
            </w:r>
          </w:p>
          <w:p w14:paraId="29FC1AF6">
            <w:pPr>
              <w:rPr>
                <w:rFonts w:hint="eastAsia" w:ascii="微软雅黑" w:hAnsi="微软雅黑" w:eastAsia="微软雅黑" w:cs="微软雅黑"/>
                <w:b w:val="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④王建和秦韩</w:t>
            </w:r>
            <w:r>
              <w:rPr>
                <w:rFonts w:hint="eastAsia" w:ascii="微软雅黑" w:hAnsi="微软雅黑" w:eastAsia="微软雅黑" w:cs="微软雅黑"/>
                <w:b w:val="0"/>
                <w:sz w:val="21"/>
                <w:lang w:val="en-US" w:eastAsia="zh-CN"/>
              </w:rPr>
              <w:t>团队</w:t>
            </w: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统一</w:t>
            </w:r>
            <w:r>
              <w:rPr>
                <w:rFonts w:hint="eastAsia" w:ascii="微软雅黑" w:hAnsi="微软雅黑" w:eastAsia="微软雅黑" w:cs="微软雅黑"/>
                <w:b w:val="0"/>
                <w:sz w:val="21"/>
                <w:lang w:val="en-US" w:eastAsia="zh-CN"/>
              </w:rPr>
              <w:t>执行排产</w:t>
            </w: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，</w:t>
            </w:r>
            <w:r>
              <w:rPr>
                <w:rFonts w:hint="eastAsia" w:ascii="微软雅黑" w:hAnsi="微软雅黑" w:eastAsia="微软雅黑" w:cs="微软雅黑"/>
                <w:b w:val="0"/>
                <w:sz w:val="21"/>
                <w:lang w:val="en-US" w:eastAsia="zh-CN"/>
              </w:rPr>
              <w:t>在同一个排产计划中体现真实任务</w:t>
            </w: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排产</w:t>
            </w:r>
            <w:r>
              <w:rPr>
                <w:rFonts w:hint="eastAsia" w:ascii="微软雅黑" w:hAnsi="微软雅黑" w:eastAsia="微软雅黑" w:cs="微软雅黑"/>
                <w:b w:val="0"/>
                <w:sz w:val="21"/>
                <w:lang w:val="en-US" w:eastAsia="zh-CN"/>
              </w:rPr>
              <w:t>数据</w:t>
            </w: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；</w:t>
            </w:r>
          </w:p>
          <w:p w14:paraId="7E1BB13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⑤外</w:t>
            </w:r>
            <w:r>
              <w:rPr>
                <w:rFonts w:hint="eastAsia" w:ascii="微软雅黑" w:hAnsi="微软雅黑" w:eastAsia="微软雅黑" w:cs="微软雅黑"/>
                <w:b w:val="0"/>
                <w:sz w:val="21"/>
                <w:lang w:val="en-US" w:eastAsia="zh-CN"/>
              </w:rPr>
              <w:t>借</w:t>
            </w: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人员需邮件找</w:t>
            </w:r>
            <w:r>
              <w:rPr>
                <w:rFonts w:hint="eastAsia" w:ascii="微软雅黑" w:hAnsi="微软雅黑" w:eastAsia="微软雅黑" w:cs="微软雅黑"/>
                <w:b w:val="0"/>
                <w:sz w:val="21"/>
                <w:lang w:val="en-US" w:eastAsia="zh-CN"/>
              </w:rPr>
              <w:t>宇</w:t>
            </w: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总报备审批</w:t>
            </w:r>
          </w:p>
        </w:tc>
        <w:tc>
          <w:tcPr>
            <w:tcW w:w="1541" w:type="dxa"/>
          </w:tcPr>
          <w:p w14:paraId="3920FE7D">
            <w:pPr>
              <w:jc w:val="center"/>
              <w:rPr>
                <w:rFonts w:hint="eastAsia" w:ascii="微软雅黑" w:hAnsi="微软雅黑" w:eastAsia="微软雅黑" w:cs="微软雅黑"/>
                <w:b w:val="0"/>
                <w:sz w:val="21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王建</w:t>
            </w:r>
          </w:p>
          <w:p w14:paraId="663215A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秦韩</w:t>
            </w:r>
          </w:p>
        </w:tc>
      </w:tr>
      <w:tr w14:paraId="7E8B3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9" w:type="dxa"/>
          </w:tcPr>
          <w:p w14:paraId="09FACA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中移信息项目</w:t>
            </w:r>
          </w:p>
        </w:tc>
        <w:tc>
          <w:tcPr>
            <w:tcW w:w="5280" w:type="dxa"/>
          </w:tcPr>
          <w:p w14:paraId="3358D26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26年工程项目5月必须完成立项；截止4月整体收入和成本数据需补充核算</w:t>
            </w:r>
          </w:p>
        </w:tc>
        <w:tc>
          <w:tcPr>
            <w:tcW w:w="1541" w:type="dxa"/>
          </w:tcPr>
          <w:p w14:paraId="27D1937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田茂钊</w:t>
            </w:r>
          </w:p>
        </w:tc>
      </w:tr>
      <w:tr w14:paraId="3C0AF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9" w:type="dxa"/>
          </w:tcPr>
          <w:p w14:paraId="1E95347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天府再生资源项目</w:t>
            </w:r>
          </w:p>
        </w:tc>
        <w:tc>
          <w:tcPr>
            <w:tcW w:w="5280" w:type="dxa"/>
          </w:tcPr>
          <w:p w14:paraId="5651844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后续每月及时审视和调整资源规划，不能立项后就不管</w:t>
            </w:r>
          </w:p>
        </w:tc>
        <w:tc>
          <w:tcPr>
            <w:tcW w:w="1541" w:type="dxa"/>
          </w:tcPr>
          <w:p w14:paraId="4B0AF21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易波</w:t>
            </w:r>
          </w:p>
        </w:tc>
      </w:tr>
      <w:tr w14:paraId="3D0C2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9" w:type="dxa"/>
          </w:tcPr>
          <w:p w14:paraId="044A11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广东H5项目</w:t>
            </w:r>
          </w:p>
        </w:tc>
        <w:tc>
          <w:tcPr>
            <w:tcW w:w="5280" w:type="dxa"/>
          </w:tcPr>
          <w:p w14:paraId="3452FC7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月度收入波动需在排产表上体现（如有加班需标明）</w:t>
            </w:r>
          </w:p>
        </w:tc>
        <w:tc>
          <w:tcPr>
            <w:tcW w:w="1541" w:type="dxa"/>
          </w:tcPr>
          <w:p w14:paraId="2AA840C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袁嘉</w:t>
            </w:r>
          </w:p>
        </w:tc>
      </w:tr>
      <w:tr w14:paraId="60C39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9" w:type="dxa"/>
          </w:tcPr>
          <w:p w14:paraId="20525F1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河南巴洛克/鼎桥项目</w:t>
            </w:r>
          </w:p>
        </w:tc>
        <w:tc>
          <w:tcPr>
            <w:tcW w:w="5280" w:type="dxa"/>
          </w:tcPr>
          <w:p w14:paraId="40C760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验收完成后及时补报之前因进度原因未报的收入</w:t>
            </w:r>
          </w:p>
        </w:tc>
        <w:tc>
          <w:tcPr>
            <w:tcW w:w="1541" w:type="dxa"/>
          </w:tcPr>
          <w:p w14:paraId="5B0E30D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向锐</w:t>
            </w:r>
          </w:p>
        </w:tc>
      </w:tr>
    </w:tbl>
    <w:p w14:paraId="74497A65">
      <w:pPr>
        <w:rPr>
          <w:rFonts w:hint="eastAsia" w:ascii="微软雅黑" w:hAnsi="微软雅黑" w:eastAsia="微软雅黑" w:cs="微软雅黑"/>
        </w:rPr>
      </w:pPr>
    </w:p>
    <w:p w14:paraId="61CDA4E6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三、整体关注点</w:t>
      </w:r>
    </w:p>
    <w:p w14:paraId="111021B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1. 成本管控：</w:t>
      </w:r>
      <w:r>
        <w:rPr>
          <w:rFonts w:hint="eastAsia" w:ascii="微软雅黑" w:hAnsi="微软雅黑" w:eastAsia="微软雅黑" w:cs="微软雅黑"/>
          <w:sz w:val="21"/>
        </w:rPr>
        <w:t>多个项目（中免海南、鼎捷、农业）存在成本超支或亏损风险，需重点关注。沙建银强调千万别把系统数据填亏，否则会影响一批人。</w:t>
      </w:r>
    </w:p>
    <w:p w14:paraId="15B5BD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2. 排产真实性：</w:t>
      </w:r>
      <w:r>
        <w:rPr>
          <w:rFonts w:hint="eastAsia" w:ascii="微软雅黑" w:hAnsi="微软雅黑" w:eastAsia="微软雅黑" w:cs="微软雅黑"/>
          <w:sz w:val="21"/>
        </w:rPr>
        <w:t>排产表需真实反映工作负荷和加班情况，不能敷衍应付1.0负荷线。崔哲多次强调真实体现负荷，沙建银将逐个审查中免海南排产表。</w:t>
      </w:r>
    </w:p>
    <w:p w14:paraId="52D0B9C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3. 收入上报规范：</w:t>
      </w:r>
      <w:r>
        <w:rPr>
          <w:rFonts w:hint="eastAsia" w:ascii="微软雅黑" w:hAnsi="微软雅黑" w:eastAsia="微软雅黑" w:cs="微软雅黑"/>
          <w:sz w:val="21"/>
        </w:rPr>
        <w:t>沙建银指出部分项目只报收入没提交工时，导致成本未算入，毛利虚高50-60%不正常。工时需提交至</w:t>
      </w:r>
      <w:r>
        <w:rPr>
          <w:rFonts w:hint="eastAsia" w:ascii="微软雅黑" w:hAnsi="微软雅黑" w:eastAsia="微软雅黑" w:cs="微软雅黑"/>
          <w:sz w:val="21"/>
          <w:lang w:eastAsia="zh-CN"/>
        </w:rPr>
        <w:t>宇总</w:t>
      </w:r>
      <w:r>
        <w:rPr>
          <w:rFonts w:hint="eastAsia" w:ascii="微软雅黑" w:hAnsi="微软雅黑" w:eastAsia="微软雅黑" w:cs="微软雅黑"/>
          <w:sz w:val="21"/>
        </w:rPr>
        <w:t>审批，确保成本计算准确。</w:t>
      </w:r>
    </w:p>
    <w:p w14:paraId="59C1E1E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4. 外包人员管理：</w:t>
      </w:r>
      <w:r>
        <w:rPr>
          <w:rFonts w:hint="eastAsia" w:ascii="微软雅黑" w:hAnsi="微软雅黑" w:eastAsia="微软雅黑" w:cs="微软雅黑"/>
          <w:sz w:val="21"/>
          <w:lang w:eastAsia="zh-CN"/>
        </w:rPr>
        <w:t>宇总</w:t>
      </w:r>
      <w:r>
        <w:rPr>
          <w:rFonts w:hint="eastAsia" w:ascii="微软雅黑" w:hAnsi="微软雅黑" w:eastAsia="微软雅黑" w:cs="微软雅黑"/>
          <w:sz w:val="21"/>
        </w:rPr>
        <w:t>明确FP项目不允许外包人员，如确需外包，必须邮件找</w:t>
      </w:r>
      <w:r>
        <w:rPr>
          <w:rFonts w:hint="eastAsia" w:ascii="微软雅黑" w:hAnsi="微软雅黑" w:eastAsia="微软雅黑" w:cs="微软雅黑"/>
          <w:sz w:val="21"/>
          <w:lang w:eastAsia="zh-CN"/>
        </w:rPr>
        <w:t>宇总</w:t>
      </w:r>
      <w:r>
        <w:rPr>
          <w:rFonts w:hint="eastAsia" w:ascii="微软雅黑" w:hAnsi="微软雅黑" w:eastAsia="微软雅黑" w:cs="微软雅黑"/>
          <w:sz w:val="21"/>
        </w:rPr>
        <w:t>报备审批，不能私自使用。</w:t>
      </w:r>
    </w:p>
    <w:p w14:paraId="6503A4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1"/>
        </w:rPr>
        <w:t>5. AI工具推广：</w:t>
      </w:r>
      <w:r>
        <w:rPr>
          <w:rFonts w:hint="eastAsia" w:ascii="微软雅黑" w:hAnsi="微软雅黑" w:eastAsia="微软雅黑" w:cs="微软雅黑"/>
          <w:sz w:val="21"/>
        </w:rPr>
        <w:t>各项目需持续推广AI工具使用，关注降本增效成果，下次会议需看到数据层面的帮助。</w:t>
      </w:r>
    </w:p>
    <w:sect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E923D2"/>
    <w:rsid w:val="21E26EDC"/>
    <w:rsid w:val="44CA2585"/>
    <w:rsid w:val="51F23725"/>
    <w:rsid w:val="61594BB4"/>
    <w:rsid w:val="68D5400D"/>
    <w:rsid w:val="6A57205A"/>
    <w:rsid w:val="6D2162CD"/>
    <w:rsid w:val="7E572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258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2026-05-11T10:54:02Z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23FE5B34A8814D8498E0EAF6B00ED0D9_12</vt:lpwstr>
  </property>
</Properties>
</file>