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RAG 与 Agent 决策质量评测报告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DOC-TST-RAG-1050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覆盖召回、排序、引用、拒答、范围、证据可信度、工具选择和恢复决策质量。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检索质量</w:t>
      </w:r>
    </w:p>
    <w:p>
      <w:pPr>
        <w:spacing w:after="140" w:line="320"/>
      </w:pPr>
      <w:r>
        <w:t xml:space="preserve">Recall、MRR、nDCG 与多文档覆盖分别评估召回和排序。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检索质量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检索质量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检索质量 产生确定状态、无范围泄漏、无重复副作用并可由后续节点复核。</w:t>
      </w:r>
    </w:p>
    <w:p>
      <w:pPr>
        <w:pStyle w:val="Heading2"/>
        <w:keepNext/>
      </w:pPr>
      <w:r>
        <w:t xml:space="preserve">4.2 引用质量</w:t>
      </w:r>
    </w:p>
    <w:p>
      <w:pPr>
        <w:spacing w:after="140" w:line="320"/>
      </w:pPr>
      <w:r>
        <w:t xml:space="preserve">引用精确率、召回率、来源、时间和可信度必须同时检查。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引用质量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引用质量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引用质量 产生确定状态、无范围泄漏、无重复副作用并可由后续节点复核。</w:t>
      </w:r>
    </w:p>
    <w:p>
      <w:pPr>
        <w:pStyle w:val="Heading2"/>
        <w:keepNext/>
      </w:pPr>
      <w:r>
        <w:t xml:space="preserve">4.3 拒答质量</w:t>
      </w:r>
    </w:p>
    <w:p>
      <w:pPr>
        <w:spacing w:after="140" w:line="320"/>
      </w:pPr>
      <w:r>
        <w:t xml:space="preserve">无证据、跨范围和证据冲突场景必须拒答。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拒答质量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拒答质量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拒答质量 产生确定状态、无范围泄漏、无重复副作用并可由后续节点复核。</w:t>
      </w:r>
    </w:p>
    <w:p>
      <w:pPr>
        <w:pStyle w:val="Heading2"/>
        <w:keepNext/>
      </w:pPr>
      <w:r>
        <w:t xml:space="preserve">4.4 决策质量</w:t>
      </w:r>
    </w:p>
    <w:p>
      <w:pPr>
        <w:spacing w:after="140" w:line="320"/>
      </w:pPr>
      <w:r>
        <w:t xml:space="preserve">评估 SEARCH/SKIP、工具选择、修复动作和退出 Loop 的合理性。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决策质量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决策质量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决策质量 产生确定状态、无范围泄漏、无重复副作用并可由后续节点复核。</w:t>
      </w:r>
    </w:p>
    <w:p>
      <w:pPr>
        <w:pStyle w:val="Heading2"/>
        <w:keepNext/>
      </w:pPr>
      <w:r>
        <w:t xml:space="preserve">4.5 鲁棒性</w:t>
      </w:r>
    </w:p>
    <w:p>
      <w:pPr>
        <w:spacing w:after="140" w:line="320"/>
      </w:pPr>
      <w:r>
        <w:t xml:space="preserve">验证 Provider 429、超时、缺项和模型漂移。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鲁棒性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鲁棒性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鲁棒性 产生确定状态、无范围泄漏、无重复副作用并可由后续节点复核。</w:t>
      </w:r>
    </w:p>
    <w:p>
      <w:pPr>
        <w:pStyle w:val="Heading2"/>
        <w:keepNext/>
      </w:pPr>
      <w:r>
        <w:t xml:space="preserve">4.6 发布门禁</w:t>
      </w:r>
    </w:p>
    <w:p>
      <w:pPr>
        <w:spacing w:after="140" w:line="320"/>
      </w:pPr>
      <w:r>
        <w:t xml:space="preserve">任何范围泄漏、未授权动作或高风险误执行直接阻断发布。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发布门禁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发布门禁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发布门禁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准备，保留 DOC-TST-RAG-1050-01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发现，保留 DOC-TST-RAG-1050-02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定位，保留 DOC-TST-RAG-1050-03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对比，保留 DOC-TST-RAG-1050-04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检索，保留 DOC-TST-RAG-1050-05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决策，保留 DOC-TST-RAG-1050-06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预览，保留 DOC-TST-RAG-1050-07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门禁，保留 DOC-TST-RAG-1050-08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执行，保留 DOC-TST-RAG-1050-09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回执，保留 DOC-TST-RAG-1050-10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重跑，保留 DOC-TST-RAG-1050-11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预检，保留 DOC-TST-RAG-1050-12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监控，保留 DOC-TST-RAG-1050-13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收敛，保留 DOC-TST-RAG-1050-14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审计，保留 DOC-TST-RAG-1050-15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通知，保留 DOC-TST-RAG-1050-16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复盘，保留 DOC-TST-RAG-1050-17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改进，保留 DOC-TST-RAG-1050-18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请求示例：{"tenantId":"10","projectId":"101","traceId":"trace-synthetic-001","objective":"RAG 与 Agent 决策质量评测报告","idempotencyKey":"idem-DOC-TST-RAG-1050-001"}</w:t>
      </w:r>
    </w:p>
    <w:p>
      <w:pPr>
        <w:pStyle w:val="CodeBlock"/>
      </w:pPr>
      <w:r>
        <w:t xml:space="preserve">证据示例：{"sourceUri":"synthetic://datasmart-govern/report-rag-agent-evaluation","observedAt":"2026-08-16T02:10:00+08:00","confidence":0.97,"confidenceBasis":"STRUCTURED_FACT","sourceStatus":"COMPLETE"}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事件示例：{"schemaVersion":"datasmart.event.v1","eventId":"evt-DOC-TST-RAG-1050-001","traceId":"trace-synthetic-001","node":"RECOVERY_AGENT","state":"SUCCEEDED","occurredAt":"2026-08-16T02:15:00+08:00"}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DOC-TST-RAG-1050；独立锚点 tenant-10-project-101:report-rag-agent-evaluation；文档标识 rag-eval-tenant-10-project-101-report-rag-agent-evaluation。RAG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DOC-TST-RAG-1050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与 Agent 决策质量评测报告</dc:title>
  <dc:creator>DataSmart Govern</dc:creator>
  <dc:description>纯合成中文 RAG 异构评测资料</dc:description>
  <cp:lastModifiedBy>Un-named</cp:lastModifiedBy>
  <cp:revision>1</cp:revision>
  <dcterms:created xsi:type="dcterms:W3CDTF">2026-08-15T18:51:34.144Z</dcterms:created>
  <dcterms:modified xsi:type="dcterms:W3CDTF">2026-08-15T18:51:34.144Z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