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模型、Embedding 与 Reranker Provider 运维手册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DOC-OPS-LLM-940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 Provider 健康、模型路由、超时、429、5xx、降级、费用、密钥轮换和响应校验。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健康探测</w:t>
      </w:r>
    </w:p>
    <w:p>
      <w:pPr>
        <w:spacing w:after="140" w:line="320"/>
      </w:pPr>
      <w:r>
        <w:t xml:space="preserve">使用不含业务正文的低敏 smoke 验证模型、Embedding 和 Reranker。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健康探测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健康探测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健康探测 产生确定状态、无范围泄漏、无重复副作用并可由后续节点复核。</w:t>
      </w:r>
    </w:p>
    <w:p>
      <w:pPr>
        <w:pStyle w:val="Heading2"/>
        <w:keepNext/>
      </w:pPr>
      <w:r>
        <w:t xml:space="preserve">4.2 路由</w:t>
      </w:r>
    </w:p>
    <w:p>
      <w:pPr>
        <w:spacing w:after="140" w:line="320"/>
      </w:pPr>
      <w:r>
        <w:t xml:space="preserve">规划模型、Embedding 和 Reranker 独立配置，不能混用 Endpoint 或凭据。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路由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路由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路由 产生确定状态、无范围泄漏、无重复副作用并可由后续节点复核。</w:t>
      </w:r>
    </w:p>
    <w:p>
      <w:pPr>
        <w:pStyle w:val="Heading2"/>
        <w:keepNext/>
      </w:pPr>
      <w:r>
        <w:t xml:space="preserve">4.3 限流</w:t>
      </w:r>
    </w:p>
    <w:p>
      <w:pPr>
        <w:spacing w:after="140" w:line="320"/>
      </w:pPr>
      <w:r>
        <w:t xml:space="preserve">429 使用有界退避和预算，不无限重试，不扩大并发。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限流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限流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限流 产生确定状态、无范围泄漏、无重复副作用并可由后续节点复核。</w:t>
      </w:r>
    </w:p>
    <w:p>
      <w:pPr>
        <w:pStyle w:val="Heading2"/>
        <w:keepNext/>
      </w:pPr>
      <w:r>
        <w:t xml:space="preserve">4.4 响应校验</w:t>
      </w:r>
    </w:p>
    <w:p>
      <w:pPr>
        <w:spacing w:after="140" w:line="320"/>
      </w:pPr>
      <w:r>
        <w:t xml:space="preserve">向量维度、重排缺项、非有限分数和模型名漂移均 fail-closed。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响应校验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响应校验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响应校验 产生确定状态、无范围泄漏、无重复副作用并可由后续节点复核。</w:t>
      </w:r>
    </w:p>
    <w:p>
      <w:pPr>
        <w:pStyle w:val="Heading2"/>
        <w:keepNext/>
      </w:pPr>
      <w:r>
        <w:t xml:space="preserve">4.5 降级</w:t>
      </w:r>
    </w:p>
    <w:p>
      <w:pPr>
        <w:spacing w:after="140" w:line="320"/>
      </w:pPr>
      <w:r>
        <w:t xml:space="preserve">语义不可用时明确切换词法或无证据模式，不生成伪向量。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降级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降级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降级 产生确定状态、无范围泄漏、无重复副作用并可由后续节点复核。</w:t>
      </w:r>
    </w:p>
    <w:p>
      <w:pPr>
        <w:pStyle w:val="Heading2"/>
        <w:keepNext/>
      </w:pPr>
      <w:r>
        <w:t xml:space="preserve">4.6 费用与审计</w:t>
      </w:r>
    </w:p>
    <w:p>
      <w:pPr>
        <w:spacing w:after="140" w:line="320"/>
      </w:pPr>
      <w:r>
        <w:t xml:space="preserve">记录模型、token/条目数量、延迟和状态，不记录密钥或完整正文。</w:t>
      </w:r>
    </w:p>
    <w:p>
      <w:pPr>
        <w:spacing w:after="140" w:line="320"/>
      </w:pPr>
      <w:r>
        <w:t xml:space="preserve">输入：输入包括 模型、Embedding 与 Reranker Provider 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费用与审计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费用与审计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DOC-OPS-LLM-940。</w:t>
      </w:r>
    </w:p>
    <w:p>
      <w:pPr>
        <w:spacing w:after="140" w:line="320"/>
      </w:pPr>
      <w:r>
        <w:t xml:space="preserve">验收：验收要求 费用与审计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准备，保留 DOC-OPS-LLM-940-01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发现，保留 DOC-OPS-LLM-940-02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定位，保留 DOC-OPS-LLM-940-03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对比，保留 DOC-OPS-LLM-940-04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检索，保留 DOC-OPS-LLM-940-05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决策，保留 DOC-OPS-LLM-940-06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预览，保留 DOC-OPS-LLM-940-07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门禁，保留 DOC-OPS-LLM-940-08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执行，保留 DOC-OPS-LLM-940-09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回执，保留 DOC-OPS-LLM-940-10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重跑，保留 DOC-OPS-LLM-940-11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预检，保留 DOC-OPS-LLM-940-12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监控，保留 DOC-OPS-LLM-940-13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收敛，保留 DOC-OPS-LLM-940-14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审计，保留 DOC-OPS-LLM-940-15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通知，保留 DOC-OPS-LLM-940-16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复盘，保留 DOC-OPS-LLM-940-17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围绕“模型、Embedding 与 Reranker Provider 运维手册”执行 改进，保留 DOC-OPS-LLM-940-18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请求示例：{"tenantId":"20","projectId":"201","traceId":"trace-synthetic-001","objective":"模型、Embedding 与 Reranker Provider 运维手册","idempotencyKey":"idem-DOC-OPS-LLM-940-001"}</w:t>
      </w:r>
    </w:p>
    <w:p>
      <w:pPr>
        <w:pStyle w:val="CodeBlock"/>
      </w:pPr>
      <w:r>
        <w:t xml:space="preserve">证据示例：{"sourceUri":"synthetic://datasmart-govern/manual-model-provider","observedAt":"2026-08-16T02:10:00+08:00","confidence":0.97,"confidenceBasis":"STRUCTURED_FACT","sourceStatus":"COMPLETE"}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事件示例：{"schemaVersion":"datasmart.event.v1","eventId":"evt-DOC-OPS-LLM-940-001","traceId":"trace-synthetic-001","node":"RECOVERY_AGENT","state":"SUCCEEDED","occurredAt":"2026-08-16T02:15:00+08:00"}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DOC-OPS-LLM-940；独立锚点 tenant-20-project-201:manual-model-provider；文档标识 rag-eval-tenant-20-project-201-manual-model-provider。RAG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DOC-OPS-LLM-940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模型、Embedding 与 Reranker Provider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2026-08-15T18:51:44.498Z</dcterms:created>
  <dcterms:modified xsi:type="dcterms:W3CDTF">2026-08-15T18:51:44.498Z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