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Agent 规划、工具与证据接口说明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DOC-API-AGT-852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tenant-20-project-201:reference-agent-api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rag-eval-tenant-20-project-201-reference-agent-api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22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定义自然语言目标、六 Specialist、ToolPlan、RAG 决策、审批预览和持久化事实接口。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目标提交</w:t>
      </w:r>
    </w:p>
    <w:p>
      <w:pPr>
        <w:spacing w:after="140" w:line="320"/>
      </w:pPr>
      <w:r>
        <w:t xml:space="preserve">请求携带目标、范围、操作者、幂等键和可用工具，不携带数据库凭据。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目标提交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目标提交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目标提交 产生确定状态、无范围泄漏、无重复副作用并可由后续节点复核。</w:t>
      </w:r>
    </w:p>
    <w:p>
      <w:pPr>
        <w:pStyle w:val="Heading2"/>
        <w:keepNext/>
      </w:pPr>
      <w:r>
        <w:t xml:space="preserve">4.2 规划输出</w:t>
      </w:r>
    </w:p>
    <w:p>
      <w:pPr>
        <w:spacing w:after="140" w:line="320"/>
      </w:pPr>
      <w:r>
        <w:t xml:space="preserve">返回 planId、objective、stateTrace、toolPlans、governance 和 evidenceRecords。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规划输出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规划输出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规划输出 产生确定状态、无范围泄漏、无重复副作用并可由后续节点复核。</w:t>
      </w:r>
    </w:p>
    <w:p>
      <w:pPr>
        <w:pStyle w:val="Heading2"/>
        <w:keepNext/>
      </w:pPr>
      <w:r>
        <w:t xml:space="preserve">4.3 工具执行</w:t>
      </w:r>
    </w:p>
    <w:p>
      <w:pPr>
        <w:spacing w:after="140" w:line="320"/>
      </w:pPr>
      <w:r>
        <w:t xml:space="preserve">每个 ToolPlan 声明工具代码、参数、风险、审批需求、超时和预期回执。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工具执行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工具执行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工具执行 产生确定状态、无范围泄漏、无重复副作用并可由后续节点复核。</w:t>
      </w:r>
    </w:p>
    <w:p>
      <w:pPr>
        <w:pStyle w:val="Heading2"/>
        <w:keepNext/>
      </w:pPr>
      <w:r>
        <w:t xml:space="preserve">4.4 RAG 决策</w:t>
      </w:r>
    </w:p>
    <w:p>
      <w:pPr>
        <w:spacing w:after="140" w:line="320"/>
      </w:pPr>
      <w:r>
        <w:t xml:space="preserve">模型可以选择 SEARCH 或 SKIP，并记录决策理由、检索策略和证据数量。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决策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RAG 决策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RAG 决策 产生确定状态、无范围泄漏、无重复副作用并可由后续节点复核。</w:t>
      </w:r>
    </w:p>
    <w:p>
      <w:pPr>
        <w:pStyle w:val="Heading2"/>
        <w:keepNext/>
      </w:pPr>
      <w:r>
        <w:t xml:space="preserve">4.5 状态追踪</w:t>
      </w:r>
    </w:p>
    <w:p>
      <w:pPr>
        <w:spacing w:after="140" w:line="320"/>
      </w:pPr>
      <w:r>
        <w:t xml:space="preserve">六 Specialist turn、LangGraph checkpoint 和 Java durable fact 使用稳定 ID 关联。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状态追踪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状态追踪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状态追踪 产生确定状态、无范围泄漏、无重复副作用并可由后续节点复核。</w:t>
      </w:r>
    </w:p>
    <w:p>
      <w:pPr>
        <w:pStyle w:val="Heading2"/>
        <w:keepNext/>
      </w:pPr>
      <w:r>
        <w:t xml:space="preserve">4.6 失败处理</w:t>
      </w:r>
    </w:p>
    <w:p>
      <w:pPr>
        <w:spacing w:after="140" w:line="320"/>
      </w:pPr>
      <w:r>
        <w:t xml:space="preserve">规划冲突、工具越权、证据不足和 Provider 故障必须显式失败或降级。</w:t>
      </w:r>
    </w:p>
    <w:p>
      <w:pPr>
        <w:spacing w:after="140" w:line="320"/>
      </w:pPr>
      <w:r>
        <w:t xml:space="preserve">输入：输入包括 Agent 规划、工具与证据接口说明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失败处理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失败处理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DOC-API-AGT-852。</w:t>
      </w:r>
    </w:p>
    <w:p>
      <w:pPr>
        <w:spacing w:after="140" w:line="320"/>
      </w:pPr>
      <w:r>
        <w:t xml:space="preserve">验收：验收要求 失败处理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准备，保留 DOC-API-AGT-852-01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发现，保留 DOC-API-AGT-852-02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定位，保留 DOC-API-AGT-852-03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对比，保留 DOC-API-AGT-852-04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检索，保留 DOC-API-AGT-852-05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决策，保留 DOC-API-AGT-852-06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预览，保留 DOC-API-AGT-852-07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门禁，保留 DOC-API-AGT-852-08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执行，保留 DOC-API-AGT-852-09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回执，保留 DOC-API-AGT-852-10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重跑，保留 DOC-API-AGT-852-11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预检，保留 DOC-API-AGT-852-12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监控，保留 DOC-API-AGT-852-13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收敛，保留 DOC-API-AGT-852-14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审计，保留 DOC-API-AGT-852-15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通知，保留 DOC-API-AGT-852-16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复盘，保留 DOC-API-AGT-852-17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围绕“Agent 规划、工具与证据接口说明”执行 改进，保留 DOC-API-AGT-852-18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提交自然语言目标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查询规划与状态轨迹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生成执行预览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执行已批准计划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/api/agent/executions/{executionId}/trace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查询六 Specialist 与图节点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/api/agent/rag/query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执行受范围约束的知识检索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按范围查询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/api/agent/requests/{requestId}/cancel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取消尚未产生副作用的 Agent 请求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AgentPlan 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/api/agent/plans/ingestions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摄取 Python 生成的 AgentPlan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/api/agent/plans/{planId}/tool-plans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查询计划中的 ToolPlan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Agent 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/api/agent/executions/{executionId}/resume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从 durable checkpoint 恢复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/api/agent/executions/{executionId}/terminate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终止图执行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/api/agent/executions/{executionId}/turns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Specialist turn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/api/agent/executions/{executionId}/facts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 Java durable fact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/api/agent/executions/{executionId}/evidence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查询统一证据记录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/api/agent/rag/feedback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提交引用相关性反馈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/api/agent/rag/diagnostics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 RAG 低敏诊断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启动黄金集评测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/api/agent/rag/evaluations/{evaluationId}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读取低敏评测报告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</w:tbl>
    <w:p>
      <w:pPr>
        <w:pStyle w:val="Heading1"/>
        <w:keepNext/>
      </w:pPr>
      <w:r>
        <w:t xml:space="preserve">8. 逐接口详细合同（22 个）</w:t>
      </w:r>
    </w:p>
    <w:p>
      <w:pPr>
        <w:pStyle w:val="Heading2"/>
        <w:keepNext/>
      </w:pPr>
      <w:r>
        <w:t xml:space="preserve">8.1 POST /api/agent/requests</w:t>
      </w:r>
    </w:p>
    <w:p>
      <w:pPr>
        <w:spacing w:after="140" w:line="320"/>
      </w:pPr>
      <w:r>
        <w:t xml:space="preserve">用途：提交自然语言目标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范围、幂等、工具白名单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GET /api/agent/requests/{requestId}</w:t>
      </w:r>
    </w:p>
    <w:p>
      <w:pPr>
        <w:spacing w:after="140" w:line="320"/>
      </w:pPr>
      <w:r>
        <w:t xml:space="preserve">用途：查询规划与状态轨迹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低敏响应、范围过滤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GET /api/agent/plans/{planId}</w:t>
      </w:r>
    </w:p>
    <w:p>
      <w:pPr>
        <w:spacing w:after="140" w:line="320"/>
      </w:pPr>
      <w:r>
        <w:t xml:space="preserve">用途：读取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POST /api/agent/plans/{planId}/preview</w:t>
      </w:r>
    </w:p>
    <w:p>
      <w:pPr>
        <w:spacing w:after="140" w:line="320"/>
      </w:pPr>
      <w:r>
        <w:t xml:space="preserve">用途：生成执行预览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禁止副作用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/api/agent/plans/{planId}/execute</w:t>
      </w:r>
    </w:p>
    <w:p>
      <w:pPr>
        <w:spacing w:after="140" w:line="320"/>
      </w:pPr>
      <w:r>
        <w:t xml:space="preserve">用途：执行已批准计划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审批、幂等、风险门禁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GET /api/agent/executions/{executionId}/trace</w:t>
      </w:r>
    </w:p>
    <w:p>
      <w:pPr>
        <w:spacing w:after="140" w:line="320"/>
      </w:pPr>
      <w:r>
        <w:t xml:space="preserve">用途：查询六 Specialist 与图节点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统一链路 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POST /api/agent/rag/query</w:t>
      </w:r>
    </w:p>
    <w:p>
      <w:pPr>
        <w:spacing w:after="140" w:line="320"/>
      </w:pPr>
      <w:r>
        <w:t xml:space="preserve">用途：执行受范围约束的知识检索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来源、时间、可信度、拒答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GET /api/agent/requests</w:t>
      </w:r>
    </w:p>
    <w:p>
      <w:pPr>
        <w:spacing w:after="140" w:line="320"/>
      </w:pPr>
      <w:r>
        <w:t xml:space="preserve">用途：按范围查询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不返回完整模型上下文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POST /api/agent/requests/{requestId}/cancel</w:t>
      </w:r>
    </w:p>
    <w:p>
      <w:pPr>
        <w:spacing w:after="140" w:line="320"/>
      </w:pPr>
      <w:r>
        <w:t xml:space="preserve">用途：取消尚未产生副作用的 Agent 请求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幂等取消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GET /api/agent/plans</w:t>
      </w:r>
    </w:p>
    <w:p>
      <w:pPr>
        <w:spacing w:after="140" w:line="320"/>
      </w:pPr>
      <w:r>
        <w:t xml:space="preserve">用途：查询 AgentPlan 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按状态、风险和时间过滤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/api/agent/plans/ingestions</w:t>
      </w:r>
    </w:p>
    <w:p>
      <w:pPr>
        <w:spacing w:after="140" w:line="320"/>
      </w:pPr>
      <w:r>
        <w:t xml:space="preserve">用途：摄取 Python 生成的 AgentPlan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请求指纹与幂等冲突保护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/api/agent/plans/{planId}/tool-plans</w:t>
      </w:r>
    </w:p>
    <w:p>
      <w:pPr>
        <w:spacing w:after="140" w:line="320"/>
      </w:pPr>
      <w:r>
        <w:t xml:space="preserve">用途：查询计划中的 ToolPlan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隐藏敏感参数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GET /api/agent/executions</w:t>
      </w:r>
    </w:p>
    <w:p>
      <w:pPr>
        <w:spacing w:after="140" w:line="320"/>
      </w:pPr>
      <w:r>
        <w:t xml:space="preserve">用途：查询 Agent 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tenant/project 硬过滤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POST /api/agent/executions/{executionId}/resume</w:t>
      </w:r>
    </w:p>
    <w:p>
      <w:pPr>
        <w:spacing w:after="140" w:line="320"/>
      </w:pPr>
      <w:r>
        <w:t xml:space="preserve">用途：从 durable checkpoint 恢复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 checkpoint 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/api/agent/executions/{executionId}/terminate</w:t>
      </w:r>
    </w:p>
    <w:p>
      <w:pPr>
        <w:spacing w:after="140" w:line="320"/>
      </w:pPr>
      <w:r>
        <w:t xml:space="preserve">用途：终止图执行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记录终止主体与原因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GET /api/agent/executions/{executionId}/turns</w:t>
      </w:r>
    </w:p>
    <w:p>
      <w:pPr>
        <w:spacing w:after="140" w:line="320"/>
      </w:pPr>
      <w:r>
        <w:t xml:space="preserve">用途：查询 Specialist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sequence 返回低敏事实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GET /api/agent/executions/{executionId}/facts</w:t>
      </w:r>
    </w:p>
    <w:p>
      <w:pPr>
        <w:spacing w:after="140" w:line="320"/>
      </w:pPr>
      <w:r>
        <w:t xml:space="preserve">用途：查询 Java durable fact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来源节点与摘要指纹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GET /api/agent/executions/{executionId}/evidence</w:t>
      </w:r>
    </w:p>
    <w:p>
      <w:pPr>
        <w:spacing w:after="140" w:line="320"/>
      </w:pPr>
      <w:r>
        <w:t xml:space="preserve">用途：查询统一证据记录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POST /api/agent/rag/feedback</w:t>
      </w:r>
    </w:p>
    <w:p>
      <w:pPr>
        <w:spacing w:after="140" w:line="320"/>
      </w:pPr>
      <w:r>
        <w:t xml:space="preserve">用途：提交引用相关性反馈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操作者与 caseId 可审计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GET /api/agent/rag/diagnostics</w:t>
      </w:r>
    </w:p>
    <w:p>
      <w:pPr>
        <w:spacing w:after="140" w:line="320"/>
      </w:pPr>
      <w:r>
        <w:t xml:space="preserve">用途：读取 RAG 低敏诊断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不返回 Endpoint、密钥或正文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POST /api/agent/rag/evaluations</w:t>
      </w:r>
    </w:p>
    <w:p>
      <w:pPr>
        <w:spacing w:after="140" w:line="320"/>
      </w:pPr>
      <w:r>
        <w:t xml:space="preserve">用途：启动黄金集评测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非生产合成语料门禁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GET /api/agent/rag/evaluations/{evaluationId}</w:t>
      </w:r>
    </w:p>
    <w:p>
      <w:pPr>
        <w:spacing w:after="140" w:line="320"/>
      </w:pPr>
      <w:r>
        <w:t xml:space="preserve">用途：读取低敏评测报告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evaluationId: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只含 ID、指标和来源 URI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请求示例：{"tenantId":"20","projectId":"201","traceId":"trace-synthetic-001","objective":"Agent 规划、工具与证据接口说明","idempotencyKey":"idem-DOC-API-AGT-852-001"}</w:t>
      </w:r>
    </w:p>
    <w:p>
      <w:pPr>
        <w:pStyle w:val="CodeBlock"/>
      </w:pPr>
      <w:r>
        <w:t xml:space="preserve">证据示例：{"sourceUri":"synthetic://datasmart-govern/reference-agent-api","observedAt":"2026-08-16T02:10:00+08:00","confidence":0.97,"confidenceBasis":"STRUCTURED_FACT","sourceStatus":"COMPLETE"}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事件示例：{"schemaVersion":"datasmart.event.v1","eventId":"evt-DOC-API-AGT-852-001","traceId":"trace-synthetic-001","node":"RECOVERY_AGENT","state":"SUCCEEDED","occurredAt":"2026-08-16T02:15:00+08:00"}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DOC-API-AGT-852；独立锚点 tenant-20-project-201:reference-agent-api；文档标识 rag-eval-tenant-20-project-201-reference-agent-api。RAG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DOC-API-AGT-852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规划、工具与证据接口说明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2026-08-15T18:51:44.024Z</dcterms:created>
  <dcterms:modified xsi:type="dcterms:W3CDTF">2026-08-15T18:51:44.024Z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