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Agent、RAG 与数据同步性能测试报告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DOC-TST-PERF-1039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定义规划、检索、重排、Kafka、数据库、同步吞吐和恢复时延的冷/热测试方法。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工作负载</w:t>
      </w:r>
    </w:p>
    <w:p>
      <w:pPr>
        <w:spacing w:after="140" w:line="320"/>
      </w:pPr>
      <w:r>
        <w:t xml:space="preserve">按文档规模、并发查询、任务数量、分片数和行数分层。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工作负载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工作负载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工作负载 产生确定状态、无范围泄漏、无重复副作用并可由后续节点复核。</w:t>
      </w:r>
    </w:p>
    <w:p>
      <w:pPr>
        <w:pStyle w:val="Heading2"/>
        <w:keepNext/>
      </w:pPr>
      <w:r>
        <w:t xml:space="preserve">4.2 Agent 指标</w:t>
      </w:r>
    </w:p>
    <w:p>
      <w:pPr>
        <w:spacing w:after="140" w:line="320"/>
      </w:pPr>
      <w:r>
        <w:t xml:space="preserve">记录规划端到端、模型调用、工具等待和图节点耗时。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Agent 指标 产生确定状态、无范围泄漏、无重复副作用并可由后续节点复核。</w:t>
      </w:r>
    </w:p>
    <w:p>
      <w:pPr>
        <w:pStyle w:val="Heading2"/>
        <w:keepNext/>
      </w:pPr>
      <w:r>
        <w:t xml:space="preserve">4.3 RAG 指标</w:t>
      </w:r>
    </w:p>
    <w:p>
      <w:pPr>
        <w:spacing w:after="140" w:line="320"/>
      </w:pPr>
      <w:r>
        <w:t xml:space="preserve">记录摄取、Embedding、召回、Reranker、引用和拒答延迟。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RAG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RAG 指标 产生确定状态、无范围泄漏、无重复副作用并可由后续节点复核。</w:t>
      </w:r>
    </w:p>
    <w:p>
      <w:pPr>
        <w:pStyle w:val="Heading2"/>
        <w:keepNext/>
      </w:pPr>
      <w:r>
        <w:t xml:space="preserve">4.4 Kafka 指标</w:t>
      </w:r>
    </w:p>
    <w:p>
      <w:pPr>
        <w:spacing w:after="140" w:line="320"/>
      </w:pPr>
      <w:r>
        <w:t xml:space="preserve">记录生产延迟、lag、重试、DLT 和吞吐。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Kafka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Kafka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Kafka 指标 产生确定状态、无范围泄漏、无重复副作用并可由后续节点复核。</w:t>
      </w:r>
    </w:p>
    <w:p>
      <w:pPr>
        <w:pStyle w:val="Heading2"/>
        <w:keepNext/>
      </w:pPr>
      <w:r>
        <w:t xml:space="preserve">4.5 同步指标</w:t>
      </w:r>
    </w:p>
    <w:p>
      <w:pPr>
        <w:spacing w:after="140" w:line="320"/>
      </w:pPr>
      <w:r>
        <w:t xml:space="preserve">记录 rows/s、batch、channel、checkpoint 和目标提交耗时。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同步指标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同步指标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同步指标 产生确定状态、无范围泄漏、无重复副作用并可由后续节点复核。</w:t>
      </w:r>
    </w:p>
    <w:p>
      <w:pPr>
        <w:pStyle w:val="Heading2"/>
        <w:keepNext/>
      </w:pPr>
      <w:r>
        <w:t xml:space="preserve">4.6 门禁</w:t>
      </w:r>
    </w:p>
    <w:p>
      <w:pPr>
        <w:spacing w:after="140" w:line="320"/>
      </w:pPr>
      <w:r>
        <w:t xml:space="preserve">同时满足延迟、错误率、范围泄漏和资源使用目标。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门禁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门禁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门禁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准备，保留 DOC-TST-PERF-1039-01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发现，保留 DOC-TST-PERF-1039-02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定位，保留 DOC-TST-PERF-1039-03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对比，保留 DOC-TST-PERF-1039-04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检索，保留 DOC-TST-PERF-1039-05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决策，保留 DOC-TST-PERF-1039-06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预览，保留 DOC-TST-PERF-1039-07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门禁，保留 DOC-TST-PERF-1039-08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执行，保留 DOC-TST-PERF-1039-09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回执，保留 DOC-TST-PERF-1039-10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重跑，保留 DOC-TST-PERF-1039-11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预检，保留 DOC-TST-PERF-1039-12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监控，保留 DOC-TST-PERF-1039-13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收敛，保留 DOC-TST-PERF-1039-14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审计，保留 DOC-TST-PERF-1039-15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通知，保留 DOC-TST-PERF-1039-16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复盘，保留 DOC-TST-PERF-1039-17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改进，保留 DOC-TST-PERF-1039-18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请求示例：{"tenantId":"20","projectId":"201","traceId":"trace-synthetic-001","objective":"Agent、RAG 与数据同步性能测试报告","idempotencyKey":"idem-DOC-TST-PERF-1039-001"}</w:t>
      </w:r>
    </w:p>
    <w:p>
      <w:pPr>
        <w:pStyle w:val="CodeBlock"/>
      </w:pPr>
      <w:r>
        <w:t xml:space="preserve">证据示例：{"sourceUri":"synthetic://datasmart-govern/report-performance-test","observedAt":"2026-08-16T02:10:00+08:00","confidence":0.97,"confidenceBasis":"STRUCTURED_FACT","sourceStatus":"COMPLETE"}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事件示例：{"schemaVersion":"datasmart.event.v1","eventId":"evt-DOC-TST-PERF-1039-001","traceId":"trace-synthetic-001","node":"RECOVERY_AGENT","state":"SUCCEEDED","occurredAt":"2026-08-16T02:15:00+08:00"}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DOC-TST-PERF-1039；独立锚点 tenant-20-project-201:report-performance-test；文档标识 rag-eval-tenant-20-project-201-report-performance-test。RAG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DOC-TST-PERF-1039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Agent、RAG 与数据同步性能测试报告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2026-08-15T18:51:44.948Z</dcterms:created>
  <dcterms:modified xsi:type="dcterms:W3CDTF">2026-08-15T18:51:44.948Z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