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umentTitle"/>
      </w:pPr>
      <w:r>
        <w:rPr>
          <w:b/>
          <w:bCs/>
          <w:color w:val="17365D"/>
        </w:rPr>
        <w:t xml:space="preserve">DataSmart Govern 管理员手册</w:t>
      </w:r>
    </w:p>
    <w:p>
      <w:pPr>
        <w:pStyle w:val="DocumentSubtitle"/>
      </w:pPr>
      <w:r>
        <w:t xml:space="preserve">DataSmart Govern 合成 RAG 评测资料 | 全局产品基线</w:t>
      </w:r>
    </w:p>
    <w:p>
      <w:pPr>
        <w:pStyle w:val="Callout"/>
      </w:pPr>
      <w:r>
        <w:rPr>
          <w:b/>
          <w:bCs/>
        </w:rPr>
        <w:t xml:space="preserve">合成声明：本文档为原创评测样本，不含真实客户、个人、凭据或生产数据。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文档状态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当前有效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适用范围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全局产品基线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检索精确码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DOC-ADM-714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独立锚点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global:manual-administrator-guide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EEF3F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审计保留</w:t>
            </w:r>
          </w:p>
        </w:tc>
        <w:tc>
          <w:tcPr>
            <w:tcW w:type="dxa" w:w="69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180 天</w:t>
            </w:r>
          </w:p>
        </w:tc>
      </w:tr>
    </w:tbl>
    <w:p>
      <w:pPr>
        <w:pStyle w:val="Heading1"/>
        <w:keepNext/>
      </w:pPr>
      <w:r>
        <w:t xml:space="preserve">1. 文档目的</w:t>
      </w:r>
    </w:p>
    <w:p>
      <w:pPr>
        <w:spacing w:after="140" w:line="320"/>
      </w:pPr>
      <w:r>
        <w:t xml:space="preserve">管理员维护项目、应用、角色、审批策略和密钥引用，不能把模型判断当作授权事实。 本文档用于验证 DOCX 解析、中文语义召回、来源引用、时间和可信度字段，不代表任何真实环境。</w:t>
      </w:r>
    </w:p>
    <w:p>
      <w:pPr>
        <w:pStyle w:val="Heading1"/>
        <w:keepNext/>
      </w:pPr>
      <w:r>
        <w:t xml:space="preserve">2. 适用边界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tenantId=*，projectId=*，workspaceKey=*。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同主题的其他租户或项目文档属于硬隔离干扰项，必须在向量召回和 Reranker 之前过滤。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模型输出不能替代权限、审批、幂等或审计事实；没有足够证据时必须拒答。</w:t>
      </w:r>
    </w:p>
    <w:p>
      <w:pPr>
        <w:pStyle w:val="Heading1"/>
        <w:keepNext/>
      </w:pPr>
      <w:r>
        <w:t xml:space="preserve">3. 核心流程与说明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组织边界</w:t>
      </w:r>
      <w:r>
        <w:t xml:space="preserve">：只保留项目与应用层级；workspaceKey 在 Agent 工具中表示受限本地执行目录，不是业务层级。</w:t>
      </w:r>
    </w:p>
    <w:p>
      <w:pPr>
        <w:pStyle w:val="Note"/>
      </w:pPr>
      <w:r>
        <w:t xml:space="preserve">验证点 1：记录来源、发生时间、可信度依据和执行结果。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角色授权</w:t>
      </w:r>
      <w:r>
        <w:t xml:space="preserve">：授权同时校验角色、租户、项目、动作和资源，跨范围导出需要可信控制面审批事实。</w:t>
      </w:r>
    </w:p>
    <w:p>
      <w:pPr>
        <w:pStyle w:val="Note"/>
      </w:pPr>
      <w:r>
        <w:t xml:space="preserve">验证点 2：记录来源、发生时间、可信度依据和执行结果。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密钥管理</w:t>
      </w:r>
      <w:r>
        <w:t xml:space="preserve">：模型、Embedding、Reranker 和连接器密钥通过 Secret 注入，禁止写入文档、日志或 Git。</w:t>
      </w:r>
    </w:p>
    <w:p>
      <w:pPr>
        <w:pStyle w:val="Note"/>
      </w:pPr>
      <w:r>
        <w:t xml:space="preserve">验证点 3：记录来源、发生时间、可信度依据和执行结果。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审计复核</w:t>
      </w:r>
      <w:r>
        <w:t xml:space="preserve">：定期检查首次授权盒、无人值守恢复动作、人工退出原因和不可变审计摘要。</w:t>
      </w:r>
    </w:p>
    <w:p>
      <w:pPr>
        <w:pStyle w:val="Note"/>
      </w:pPr>
      <w:r>
        <w:t xml:space="preserve">验证点 4：记录来源、发生时间、可信度依据和执行结果。</w:t>
      </w:r>
    </w:p>
    <w:p>
      <w:pPr>
        <w:pStyle w:val="Heading1"/>
        <w:keepNext/>
      </w:pPr>
      <w:r>
        <w:t xml:space="preserve">4. 参数与治理控制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控制项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本范围值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shd w:fill="D9EAF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治理要求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同步延迟预算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分钟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超出预算后触发 MONITOR_AGENT 诊断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最大恢复循环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 轮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每轮必须产生新证据或新修复动作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基线批量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500 行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自动调参只允许降低批量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基线并发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自动调参只允许降低并发</w:t>
            </w:r>
          </w:p>
        </w:tc>
      </w:tr>
      <w:tr>
        <w:tc>
          <w:tcPr>
            <w:tcW w:type="dxa" w:w="24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基线超时</w:t>
            </w:r>
          </w:p>
        </w:tc>
        <w:tc>
          <w:tcPr>
            <w:tcW w:type="dxa" w:w="216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120 秒</w:t>
            </w:r>
          </w:p>
        </w:tc>
        <w:tc>
          <w:tcPr>
            <w:tcW w:type="dxa" w:w="4800"/>
            <w:tcBorders>
              <w:top w:val="single" w:color="C7D0D9" w:sz="2"/>
              <w:left w:val="single" w:color="C7D0D9" w:sz="2"/>
              <w:bottom w:val="single" w:color="C7D0D9" w:sz="2"/>
              <w:right w:val="single" w:color="C7D0D9" w:sz="2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只能在授权上界内有界增加</w:t>
            </w:r>
          </w:p>
        </w:tc>
      </w:tr>
    </w:tbl>
    <w:p>
      <w:pPr>
        <w:pStyle w:val="Heading1"/>
        <w:keepNext/>
      </w:pPr>
      <w:r>
        <w:t xml:space="preserve">5. 异常与升级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低风险动作必须落在首次授权盒允许的任务、对象、动作、参数上下界和循环次数内。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涉及凭据、权限、DDL、删除或覆盖数据、扩大同步范围、不可逆转换时立即退出自治 Loop。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退出结果必须包含根因、证据来源与时间、所需权限、手工步骤、影响、回滚和验证方法。</w:t>
      </w:r>
    </w:p>
    <w:p>
      <w:pPr>
        <w:pStyle w:val="Heading1"/>
        <w:keepNext/>
      </w:pPr>
      <w:r>
        <w:t xml:space="preserve">6. 检索与引用信息</w:t>
      </w:r>
    </w:p>
    <w:p>
      <w:pPr>
        <w:spacing w:after="140" w:line="320"/>
      </w:pPr>
      <w:r>
        <w:t xml:space="preserve">精确码 DOC-ADM-714；独立锚点 global:manual-administrator-guide；文档标识 rag-eval-global-manual-administrator-guide。RAG 回答必须引用原始 DOCX sourceUri，而不是无来源的中间纯文本。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368"/>
        <w:sz w:val="18"/>
        <w:szCs w:val="18"/>
      </w:rPr>
      <w:t xml:space="preserve">DOC-ADM-714 | 第 </w:t>
    </w:r>
    <w:r>
      <w:rPr>
        <w:color w:val="5F636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F636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color w:val="5F6368"/>
        <w:sz w:val="18"/>
        <w:szCs w:val="18"/>
      </w:rPr>
      <w:t xml:space="preserve">DataSmart Govern | 合成知识资料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021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rFonts w:ascii="Microsoft YaHei" w:cs="Microsoft YaHei" w:eastAsia="Microsoft YaHei" w:hAnsi="Microsoft YaHei"/>
      <w:b/>
      <w:bCs/>
      <w:color w:val="17365D"/>
      <w:sz w:val="30"/>
      <w:szCs w:val="30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umentTitle">
    <w:name w:val="Document Title"/>
    <w:basedOn w:val="Normal"/>
    <w:next w:val="Normal"/>
    <w:pPr>
      <w:spacing w:after="80" w:before="0"/>
    </w:pPr>
    <w:rPr>
      <w:rFonts w:ascii="Microsoft YaHei" w:cs="Microsoft YaHei" w:eastAsia="Microsoft YaHei" w:hAnsi="Microsoft YaHei"/>
      <w:b/>
      <w:bCs/>
      <w:color w:val="17365D"/>
      <w:sz w:val="52"/>
      <w:szCs w:val="52"/>
    </w:rPr>
  </w:style>
  <w:style w:type="paragraph" w:styleId="DocumentSubtitle">
    <w:name w:val="Document Subtitle"/>
    <w:basedOn w:val="Normal"/>
    <w:next w:val="Normal"/>
    <w:pPr>
      <w:spacing w:after="240"/>
    </w:pPr>
    <w:rPr>
      <w:rFonts w:ascii="Microsoft YaHei" w:cs="Microsoft YaHei" w:eastAsia="Microsoft YaHei" w:hAnsi="Microsoft YaHei"/>
      <w:color w:val="5F6368"/>
      <w:sz w:val="22"/>
      <w:szCs w:val="22"/>
    </w:rPr>
  </w:style>
  <w:style w:type="paragraph" w:styleId="Callout">
    <w:name w:val="Callout"/>
    <w:basedOn w:val="Normal"/>
    <w:next w:val="Normal"/>
    <w:pPr>
      <w:shd w:fill="FFF4CE" w:val="clear"/>
      <w:spacing w:after="180" w:before="120"/>
      <w:ind w:left="160" w:right="160"/>
    </w:pPr>
    <w:rPr>
      <w:rFonts w:ascii="Microsoft YaHei" w:cs="Microsoft YaHei" w:eastAsia="Microsoft YaHei" w:hAnsi="Microsoft YaHei"/>
      <w:color w:val="7A3E00"/>
      <w:sz w:val="20"/>
      <w:szCs w:val="20"/>
    </w:rPr>
  </w:style>
  <w:style w:type="paragraph" w:styleId="Note">
    <w:name w:val="Note"/>
    <w:basedOn w:val="Normal"/>
    <w:next w:val="Normal"/>
    <w:pPr>
      <w:spacing w:after="100"/>
      <w:ind w:left="560"/>
    </w:pPr>
    <w:rPr>
      <w:rFonts w:ascii="Microsoft YaHei" w:cs="Microsoft YaHei" w:eastAsia="Microsoft YaHei" w:hAnsi="Microsoft YaHei"/>
      <w:color w:val="5F636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DataSmart Govern 管理员手册</dc:title>
  <dc:creator>DataSmart Govern</dc:creator>
  <dc:description>纯合成中文 RAG 异构评测资料</dc:description>
  <cp:lastModifiedBy>Un-named</cp:lastModifiedBy>
  <cp:revision>1</cp:revision>
  <dcterms:created xsi:type="dcterms:W3CDTF">2026-08-15T17:32:48.406Z</dcterms:created>
  <dcterms:modified xsi:type="dcterms:W3CDTF">2026-08-15T17:32:48.406Z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