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部署手册</w:t>
      </w:r>
    </w:p>
    <w:p>
      <w:pPr>
        <w:pStyle w:val="DocumentSubtitle"/>
      </w:pPr>
      <w:r>
        <w:t xml:space="preserve">DataSmart Govern 合成 RAG 评测资料 | 租户 10 项目 101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DOC-DEP-731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tenant-10-project-101:manual-deployment-guide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部署基线为 JDK 21、Spring Boot 3.5.11、Kafka、PostgreSQL/pgvector 和 Python AI Runtime。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tenantId=10，projectId=101，workspaceKey=tenant-10-project-101。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基础设施</w:t>
      </w:r>
      <w:r>
        <w:t xml:space="preserve">：先启动 PostgreSQL/pgvector、Kafka 与对象存储，再启动 Java 服务和 Python AI Runtime。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配置注入</w:t>
      </w:r>
      <w:r>
        <w:t xml:space="preserve">：数据库 DSN、Provider Key、Gateway HMAC 和对象存储凭据仅通过部署 Secret 提供。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健康检查</w:t>
      </w:r>
      <w:r>
        <w:t xml:space="preserve">：验证数据库迁移、Kafka topic、消费者组、模型连通性和 `/actuator/health`。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发布验证</w:t>
      </w:r>
      <w:r>
        <w:t xml:space="preserve">：执行只读预检、合成任务 smoke、RAG 范围查询和 Recovery 后置验证后再切换流量。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DOC-DEP-731；独立锚点 tenant-10-project-101:manual-deployment-guide；文档标识 rag-eval-tenant-10-project-101-manual-deployment-guide。RAG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DOC-DEP-731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部署手册</dc:title>
  <dc:creator>DataSmart Govern</dc:creator>
  <dc:description>纯合成中文 RAG 异构评测资料</dc:description>
  <cp:lastModifiedBy>Un-named</cp:lastModifiedBy>
  <cp:revision>1</cp:revision>
  <dcterms:created xsi:type="dcterms:W3CDTF">2026-08-15T17:32:48.600Z</dcterms:created>
  <dcterms:modified xsi:type="dcterms:W3CDTF">2026-08-15T17:32:48.600Z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