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DataSmart Govern 运维手册</w:t>
      </w:r>
    </w:p>
    <w:p>
      <w:pPr>
        <w:pStyle w:val="DocumentSubtitle"/>
      </w:pPr>
      <w:r>
        <w:t xml:space="preserve">DataSmart Govern 合成 RAG 评测资料 | 租户 10 项目 101 合成演示空间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 10 项目 101 合成演示空间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DOC-OPS-746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tenant-10-project-101:manual-operations-guide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审计保留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120 天</w:t>
            </w:r>
          </w:p>
        </w:tc>
      </w:tr>
    </w:tbl>
    <w:p>
      <w:pPr>
        <w:pStyle w:val="Heading1"/>
        <w:keepNext/>
      </w:pPr>
      <w:r>
        <w:t xml:space="preserve">1. 文档目的</w:t>
      </w:r>
    </w:p>
    <w:p>
      <w:pPr>
        <w:spacing w:after="140" w:line="320"/>
      </w:pPr>
      <w:r>
        <w:t xml:space="preserve">运维排查先查询结构化日志与指标，再比较上次成功配置、连接器能力、Runbook 和历史事故。 本文档用于验证 DOCX 解析、中文语义召回、来源引用、时间和可信度字段，不代表任何真实环境。</w:t>
      </w:r>
    </w:p>
    <w:p>
      <w:pPr>
        <w:pStyle w:val="Heading1"/>
        <w:keepNext/>
      </w:pPr>
      <w:r>
        <w:t xml:space="preserve">2. 适用边界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tenantId=10，projectId=101，workspaceKey=tenant-10-project-101。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同主题的其他租户或项目文档属于硬隔离干扰项，必须在向量召回和 Reranker 之前过滤。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模型输出不能替代权限、审批、幂等或审计事实；没有足够证据时必须拒答。</w:t>
      </w:r>
    </w:p>
    <w:p>
      <w:pPr>
        <w:pStyle w:val="Heading1"/>
        <w:keepNext/>
      </w:pPr>
      <w:r>
        <w:t xml:space="preserve">3. 核心流程与说明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发现异常</w:t>
      </w:r>
      <w:r>
        <w:t xml:space="preserve">：按 traceId、taskId、executionId、objectId 和 errorCode 查询结构化日志。</w:t>
      </w:r>
    </w:p>
    <w:p>
      <w:pPr>
        <w:pStyle w:val="Note"/>
      </w:pPr>
      <w:r>
        <w:t xml:space="preserve">验证点 1：记录来源、发生时间、可信度依据和执行结果。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建立基线</w:t>
      </w:r>
      <w:r>
        <w:t xml:space="preserve">：比较当前配置与上一次成功配置，重点检查字段映射、默认值、非空、外键和 checkpoint。</w:t>
      </w:r>
    </w:p>
    <w:p>
      <w:pPr>
        <w:pStyle w:val="Note"/>
      </w:pPr>
      <w:r>
        <w:t xml:space="preserve">验证点 2：记录来源、发生时间、可信度依据和执行结果。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核对容量</w:t>
      </w:r>
      <w:r>
        <w:t xml:space="preserve">：查询连接器版本、限流、批量、并发、超时和目标端容量，不盲目扩大资源。</w:t>
      </w:r>
    </w:p>
    <w:p>
      <w:pPr>
        <w:pStyle w:val="Note"/>
      </w:pPr>
      <w:r>
        <w:t xml:space="preserve">验证点 3：记录来源、发生时间、可信度依据和执行结果。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恢复闭环</w:t>
      </w:r>
      <w:r>
        <w:t xml:space="preserve">：低风险修复在首次授权盒内自动执行；越权动作退出 Loop 并给出根因、权限、步骤、影响、回滚和验证。</w:t>
      </w:r>
    </w:p>
    <w:p>
      <w:pPr>
        <w:pStyle w:val="Note"/>
      </w:pPr>
      <w:r>
        <w:t xml:space="preserve">验证点 4：记录来源、发生时间、可信度依据和执行结果。</w:t>
      </w:r>
    </w:p>
    <w:p>
      <w:pPr>
        <w:pStyle w:val="Heading1"/>
        <w:keepNext/>
      </w:pPr>
      <w:r>
        <w:t xml:space="preserve">4. 参数与治理控制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控制项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本范围值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治理要求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同步延迟预算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 分钟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超出预算后触发 MONITOR_AGENT 诊断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最大恢复循环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 轮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每轮必须产生新证据或新修复动作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基线批量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800 行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自动调参只允许降低批量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基线并发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自动调参只允许降低并发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基线超时</w:t>
            </w:r>
          </w:p>
        </w:tc>
        <w:tc>
          <w:tcPr>
            <w:tcW w:type="dxa" w:w="2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180 秒</w:t>
            </w:r>
          </w:p>
        </w:tc>
        <w:tc>
          <w:tcPr>
            <w:tcW w:type="dxa" w:w="4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只能在授权上界内有界增加</w:t>
            </w:r>
          </w:p>
        </w:tc>
      </w:tr>
    </w:tbl>
    <w:p>
      <w:pPr>
        <w:pStyle w:val="Heading1"/>
        <w:keepNext/>
      </w:pPr>
      <w:r>
        <w:t xml:space="preserve">5. 异常与升级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低风险动作必须落在首次授权盒允许的任务、对象、动作、参数上下界和循环次数内。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涉及凭据、权限、DDL、删除或覆盖数据、扩大同步范围、不可逆转换时立即退出自治 Loop。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退出结果必须包含根因、证据来源与时间、所需权限、手工步骤、影响、回滚和验证方法。</w:t>
      </w:r>
    </w:p>
    <w:p>
      <w:pPr>
        <w:pStyle w:val="Heading1"/>
        <w:keepNext/>
      </w:pPr>
      <w:r>
        <w:t xml:space="preserve">6. 检索与引用信息</w:t>
      </w:r>
    </w:p>
    <w:p>
      <w:pPr>
        <w:spacing w:after="140" w:line="320"/>
      </w:pPr>
      <w:r>
        <w:t xml:space="preserve">精确码 DOC-OPS-746；独立锚点 tenant-10-project-101:manual-operations-guide；文档标识 rag-eval-tenant-10-project-101-manual-operations-guide。RAG 回答必须引用原始 DOCX sourceUri，而不是无来源的中间纯文本。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DOC-OPS-746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合成知识资料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20" w:before="260"/>
    </w:pPr>
    <w:rPr>
      <w:rFonts w:ascii="Microsoft YaHei" w:cs="Microsoft YaHei" w:eastAsia="Microsoft YaHei" w:hAnsi="Microsoft YaHei"/>
      <w:b/>
      <w:bCs/>
      <w:color w:val="17365D"/>
      <w:sz w:val="30"/>
      <w:szCs w:val="30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Note">
    <w:name w:val="Note"/>
    <w:basedOn w:val="Normal"/>
    <w:next w:val="Normal"/>
    <w:pPr>
      <w:spacing w:after="100"/>
      <w:ind w:left="560"/>
    </w:pPr>
    <w:rPr>
      <w:rFonts w:ascii="Microsoft YaHei" w:cs="Microsoft YaHei" w:eastAsia="Microsoft YaHei" w:hAnsi="Microsoft YaHei"/>
      <w:color w:val="5F6368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DataSmart Govern 运维手册</dc:title>
  <dc:creator>DataSmart Govern</dc:creator>
  <dc:description>纯合成中文 RAG 异构评测资料</dc:description>
  <cp:lastModifiedBy>Un-named</cp:lastModifiedBy>
  <cp:revision>1</cp:revision>
  <dcterms:created xsi:type="dcterms:W3CDTF">2026-08-15T17:32:48.616Z</dcterms:created>
  <dcterms:modified xsi:type="dcterms:W3CDTF">2026-08-15T17:32:48.616Z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