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Agent、任务与数据同步接口说明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DOC-API-795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tenant-10-project-101:reference-api-websocket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接口说明定义 Agent 请求、任务创建、执行查询、审批与 WebSocket 事件的稳定字段和状态。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tenantId=10，projectId=101，workspaceKey=tenant-10-project-101。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 请求</w:t>
      </w:r>
      <w:r>
        <w:t xml:space="preserve">：请求携带 tenantId、projectId、actorId、traceId 和目标描述，响应返回 planId、状态轨迹和证据。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任务执行</w:t>
      </w:r>
      <w:r>
        <w:t xml:space="preserve">：taskId 关联配置，executionId 关联一次运行，objectId 关联分片或对象台账。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审批合同</w:t>
      </w:r>
      <w:r>
        <w:t xml:space="preserve">：审批请求和审批确认记录不同主体，执行端只消费可信控制面给出的批准事实。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实时事件</w:t>
      </w:r>
      <w:r>
        <w:t xml:space="preserve">：WebSocket 事件包含 schemaVersion、eventId、traceId、taskId、executionId、node、state、occurredAt 和低敏摘要。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DOC-API-795；独立锚点 tenant-10-project-101:reference-api-websocket；文档标识 rag-eval-tenant-10-project-101-reference-api-websocket。RAG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DOC-API-795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Agent、任务与数据同步接口说明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2026-08-15T17:32:48.680Z</dcterms:created>
  <dcterms:modified xsi:type="dcterms:W3CDTF">2026-08-15T17:32:48.680Z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