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字段映射与约束故障恢复手册</w:t>
      </w:r>
    </w:p>
    <w:p>
      <w:pPr>
        <w:pStyle w:val="DocumentSubtitle"/>
      </w:pPr>
      <w:r>
        <w:t xml:space="preserve">DataSmart Govern 合成 RAG 评测资料 | 租户 10 项目 102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10 项目 102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DOC-RCV-812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tenant-10-project-102:manual-schema-recovery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恢复动作可修复可证明安全的映射、类型转换、静态默认值和失败分片；DDL、数据覆盖和权限变更必须退出 Loop。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tenantId=10，projectId=102，workspaceKey=tenant-10-project-102。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字段映射</w:t>
      </w:r>
      <w:r>
        <w:t xml:space="preserve">：仅在源目标元数据和上次成功配置共同证明唯一映射时自动修正；歧义映射退出 Loop。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默认与非空</w:t>
      </w:r>
      <w:r>
        <w:t xml:space="preserve">：可使用任务契约中已批准的静态默认值或安全转换；禁止自动放宽目标非空约束。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类型转换</w:t>
      </w:r>
      <w:r>
        <w:t xml:space="preserve">：无损或已批准的有界转换可以自动应用；截断、精度损失和时区语义变化需要人工确认。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外键与 DDL</w:t>
      </w:r>
      <w:r>
        <w:t xml:space="preserve">：可调整写入顺序或 replay 依赖对象；创建/删除外键、修改表结构或覆盖数据必须升级。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DOC-RCV-812；独立锚点 tenant-10-project-102:manual-schema-recovery；文档标识 rag-eval-tenant-10-project-102-manual-schema-recovery。RAG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DOC-RCV-812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字段映射与约束故障恢复手册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2026-08-15T17:32:48.840Z</dcterms:created>
  <dcterms:modified xsi:type="dcterms:W3CDTF">2026-08-15T17:32:48.840Z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