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安全、审批与自治边界手册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DOC-SEC-829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首次批准定义可自治的任务、对象、动作、参数和循环上限，模型不能自行扩大授权盒。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tenantId=10，projectId=102，workspaceKey=tenant-10-project-102。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授权盒内容</w:t>
      </w:r>
      <w:r>
        <w:t xml:space="preserve">：记录任务、项目、应用、数据对象、允许动作、参数上下界、有效期和最大恢复循环。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允许动作</w:t>
      </w:r>
      <w:r>
        <w:t xml:space="preserve">：配置回滚、降低并发或批量、有界增加超时、刷新元数据、恢复 checkpoint、失败分片 replay。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退出条件</w:t>
      </w:r>
      <w:r>
        <w:t xml:space="preserve">：凭据、权限、DDL、删除或覆盖数据、扩大同步范围、不可逆转换以及证据冲突。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人工指引</w:t>
      </w:r>
      <w:r>
        <w:t xml:space="preserve">：退出时返回根因、证据来源与时间、所需权限、操作步骤、影响范围、回滚步骤和验证方法。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DOC-SEC-829；独立锚点 tenant-10-project-102:manual-security-approval；文档标识 rag-eval-tenant-10-project-102-manual-security-approval。RAG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DOC-SEC-829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安全、审批与自治边界手册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2026-08-15T17:32:48.853Z</dcterms:created>
  <dcterms:modified xsi:type="dcterms:W3CDTF">2026-08-15T17:32:48.853Z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