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用户操作手册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DOC-USR-701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用户从自然语言需求创建同步任务，首次执行前确认授权盒，随后查看执行证据、引用和最终验证。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tenantId=10，projectId=102，workspaceKey=tenant-10-project-102。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创建任务</w:t>
      </w:r>
      <w:r>
        <w:t xml:space="preserve">：选择项目与应用，描述来源、目标、调度周期、质量要求和允许的自治恢复边界。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确认计划</w:t>
      </w:r>
      <w:r>
        <w:t xml:space="preserve">：核对 Agent 生成的任务参数、影响范围、审批主体和数据预检结果。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查看执行</w:t>
      </w:r>
      <w:r>
        <w:t xml:space="preserve">：通过任务详情和 WebSocket 事件查看当前节点、对象台账、重试次数和引用证据。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处理退出</w:t>
      </w:r>
      <w:r>
        <w:t xml:space="preserve">：遇到凭据、权限、DDL、覆盖数据或扩大同步范围时，按根因和操作指引交由有权限用户处理。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DOC-USR-701；独立锚点 tenant-10-project-102:manual-user-guide；文档标识 rag-eval-tenant-10-project-102-manual-user-guide。RAG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DOC-USR-701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用户操作手册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2026-08-15T17:32:48.724Z</dcterms:created>
  <dcterms:modified xsi:type="dcterms:W3CDTF">2026-08-15T17:32:48.724Z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