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DataSmart Govern 部署手册</w:t>
      </w:r>
    </w:p>
    <w:p>
      <w:pPr>
        <w:pStyle w:val="DocumentSubtitle"/>
      </w:pPr>
      <w:r>
        <w:t xml:space="preserve">DataSmart Govern 合成 RAG 评测资料 | 租户 20 项目 201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20 项目 201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DOC-DEP-731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tenant-20-project-201:manual-deployment-guide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 天</w:t>
            </w:r>
          </w:p>
        </w:tc>
      </w:tr>
    </w:tbl>
    <w:p>
      <w:pPr>
        <w:pStyle w:val="Heading1"/>
        <w:keepNext/>
      </w:pPr>
      <w:r>
        <w:t xml:space="preserve">1. 文档目的</w:t>
      </w:r>
    </w:p>
    <w:p>
      <w:pPr>
        <w:spacing w:after="140" w:line="320"/>
      </w:pPr>
      <w:r>
        <w:t xml:space="preserve">部署基线为 JDK 21、Spring Boot 3.5.11、Kafka、PostgreSQL/pgvector 和 Python AI Runtime。 本文档用于验证 DOCX 解析、中文语义召回、来源引用、时间和可信度字段，不代表任何真实环境。</w:t>
      </w:r>
    </w:p>
    <w:p>
      <w:pPr>
        <w:pStyle w:val="Heading1"/>
        <w:keepNext/>
      </w:pPr>
      <w:r>
        <w:t xml:space="preserve">2. 适用边界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tenantId=20，projectId=201，workspaceKey=tenant-20-project-201。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同主题的其他租户或项目文档属于硬隔离干扰项，必须在向量召回和 Reranker 之前过滤。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模型输出不能替代权限、审批、幂等或审计事实；没有足够证据时必须拒答。</w:t>
      </w:r>
    </w:p>
    <w:p>
      <w:pPr>
        <w:pStyle w:val="Heading1"/>
        <w:keepNext/>
      </w:pPr>
      <w:r>
        <w:t xml:space="preserve">3. 核心流程与说明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基础设施</w:t>
      </w:r>
      <w:r>
        <w:t xml:space="preserve">：先启动 PostgreSQL/pgvector、Kafka 与对象存储，再启动 Java 服务和 Python AI Runtime。</w:t>
      </w:r>
    </w:p>
    <w:p>
      <w:pPr>
        <w:pStyle w:val="Note"/>
      </w:pPr>
      <w:r>
        <w:t xml:space="preserve">验证点 1：记录来源、发生时间、可信度依据和执行结果。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配置注入</w:t>
      </w:r>
      <w:r>
        <w:t xml:space="preserve">：数据库 DSN、Provider Key、Gateway HMAC 和对象存储凭据仅通过部署 Secret 提供。</w:t>
      </w:r>
    </w:p>
    <w:p>
      <w:pPr>
        <w:pStyle w:val="Note"/>
      </w:pPr>
      <w:r>
        <w:t xml:space="preserve">验证点 2：记录来源、发生时间、可信度依据和执行结果。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健康检查</w:t>
      </w:r>
      <w:r>
        <w:t xml:space="preserve">：验证数据库迁移、Kafka topic、消费者组、模型连通性和 `/actuator/health`。</w:t>
      </w:r>
    </w:p>
    <w:p>
      <w:pPr>
        <w:pStyle w:val="Note"/>
      </w:pPr>
      <w:r>
        <w:t xml:space="preserve">验证点 3：记录来源、发生时间、可信度依据和执行结果。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发布验证</w:t>
      </w:r>
      <w:r>
        <w:t xml:space="preserve">：执行只读预检、合成任务 smoke、RAG 范围查询和 Recovery 后置验证后再切换流量。</w:t>
      </w:r>
    </w:p>
    <w:p>
      <w:pPr>
        <w:pStyle w:val="Note"/>
      </w:pPr>
      <w:r>
        <w:t xml:space="preserve">验证点 4：记录来源、发生时间、可信度依据和执行结果。</w:t>
      </w:r>
    </w:p>
    <w:p>
      <w:pPr>
        <w:pStyle w:val="Heading1"/>
        <w:keepNext/>
      </w:pPr>
      <w:r>
        <w:t xml:space="preserve">4. 参数与治理控制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控制项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本范围值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治理要求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同步延迟预算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 分钟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超出预算后触发 MONITOR_AGENT 诊断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最大恢复循环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 轮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每轮必须产生新证据或新修复动作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基线批量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1000 行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自动调参只允许降低批量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基线并发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自动调参只允许降低并发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基线超时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240 秒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只能在授权上界内有界增加</w:t>
            </w:r>
          </w:p>
        </w:tc>
      </w:tr>
    </w:tbl>
    <w:p>
      <w:pPr>
        <w:pStyle w:val="Heading1"/>
        <w:keepNext/>
      </w:pPr>
      <w:r>
        <w:t xml:space="preserve">5. 异常与升级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低风险动作必须落在首次授权盒允许的任务、对象、动作、参数上下界和循环次数内。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涉及凭据、权限、DDL、删除或覆盖数据、扩大同步范围、不可逆转换时立即退出自治 Loop。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退出结果必须包含根因、证据来源与时间、所需权限、手工步骤、影响、回滚和验证方法。</w:t>
      </w:r>
    </w:p>
    <w:p>
      <w:pPr>
        <w:pStyle w:val="Heading1"/>
        <w:keepNext/>
      </w:pPr>
      <w:r>
        <w:t xml:space="preserve">6. 检索与引用信息</w:t>
      </w:r>
    </w:p>
    <w:p>
      <w:pPr>
        <w:spacing w:after="140" w:line="320"/>
      </w:pPr>
      <w:r>
        <w:t xml:space="preserve">精确码 DOC-DEP-731；独立锚点 tenant-20-project-201:manual-deployment-guide；文档标识 rag-eval-tenant-20-project-201-manual-deployment-guide。RAG 回答必须引用原始 DOCX sourceUri，而不是无来源的中间纯文本。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DOC-DEP-731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DataSmart Govern 部署手册</dc:title>
  <dc:creator>DataSmart Govern</dc:creator>
  <dc:description>纯合成中文 RAG 异构评测资料</dc:description>
  <cp:lastModifiedBy>Un-named</cp:lastModifiedBy>
  <cp:revision>1</cp:revision>
  <dcterms:created xsi:type="dcterms:W3CDTF">2026-08-15T17:32:48.894Z</dcterms:created>
  <dcterms:modified xsi:type="dcterms:W3CDTF">2026-08-15T17:32:48.894Z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