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安全、审批与自治边界手册</w:t>
      </w:r>
    </w:p>
    <w:p>
      <w:pPr>
        <w:pStyle w:val="DocumentSubtitle"/>
      </w:pPr>
      <w:r>
        <w:t xml:space="preserve">DataSmart Govern 合成 RAG 评测资料 | 租户 20 项目 201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20 项目 201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DOC-SEC-829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tenant-20-project-201:manual-security-approval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 天</w:t>
            </w:r>
          </w:p>
        </w:tc>
      </w:tr>
    </w:tbl>
    <w:p>
      <w:pPr>
        <w:pStyle w:val="Heading1"/>
        <w:keepNext/>
      </w:pPr>
      <w:r>
        <w:t xml:space="preserve">1. 文档目的</w:t>
      </w:r>
    </w:p>
    <w:p>
      <w:pPr>
        <w:spacing w:after="140" w:line="320"/>
      </w:pPr>
      <w:r>
        <w:t xml:space="preserve">首次批准定义可自治的任务、对象、动作、参数和循环上限，模型不能自行扩大授权盒。 本文档用于验证 DOCX 解析、中文语义召回、来源引用、时间和可信度字段，不代表任何真实环境。</w:t>
      </w:r>
    </w:p>
    <w:p>
      <w:pPr>
        <w:pStyle w:val="Heading1"/>
        <w:keepNext/>
      </w:pPr>
      <w:r>
        <w:t xml:space="preserve">2. 适用边界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tenantId=20，projectId=201，workspaceKey=tenant-20-project-201。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同主题的其他租户或项目文档属于硬隔离干扰项，必须在向量召回和 Reranker 之前过滤。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模型输出不能替代权限、审批、幂等或审计事实；没有足够证据时必须拒答。</w:t>
      </w:r>
    </w:p>
    <w:p>
      <w:pPr>
        <w:pStyle w:val="Heading1"/>
        <w:keepNext/>
      </w:pPr>
      <w:r>
        <w:t xml:space="preserve">3. 核心流程与说明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授权盒内容</w:t>
      </w:r>
      <w:r>
        <w:t xml:space="preserve">：记录任务、项目、应用、数据对象、允许动作、参数上下界、有效期和最大恢复循环。</w:t>
      </w:r>
    </w:p>
    <w:p>
      <w:pPr>
        <w:pStyle w:val="Note"/>
      </w:pPr>
      <w:r>
        <w:t xml:space="preserve">验证点 1：记录来源、发生时间、可信度依据和执行结果。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允许动作</w:t>
      </w:r>
      <w:r>
        <w:t xml:space="preserve">：配置回滚、降低并发或批量、有界增加超时、刷新元数据、恢复 checkpoint、失败分片 replay。</w:t>
      </w:r>
    </w:p>
    <w:p>
      <w:pPr>
        <w:pStyle w:val="Note"/>
      </w:pPr>
      <w:r>
        <w:t xml:space="preserve">验证点 2：记录来源、发生时间、可信度依据和执行结果。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退出条件</w:t>
      </w:r>
      <w:r>
        <w:t xml:space="preserve">：凭据、权限、DDL、删除或覆盖数据、扩大同步范围、不可逆转换以及证据冲突。</w:t>
      </w:r>
    </w:p>
    <w:p>
      <w:pPr>
        <w:pStyle w:val="Note"/>
      </w:pPr>
      <w:r>
        <w:t xml:space="preserve">验证点 3：记录来源、发生时间、可信度依据和执行结果。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人工指引</w:t>
      </w:r>
      <w:r>
        <w:t xml:space="preserve">：退出时返回根因、证据来源与时间、所需权限、操作步骤、影响范围、回滚步骤和验证方法。</w:t>
      </w:r>
    </w:p>
    <w:p>
      <w:pPr>
        <w:pStyle w:val="Note"/>
      </w:pPr>
      <w:r>
        <w:t xml:space="preserve">验证点 4：记录来源、发生时间、可信度依据和执行结果。</w:t>
      </w:r>
    </w:p>
    <w:p>
      <w:pPr>
        <w:pStyle w:val="Heading1"/>
        <w:keepNext/>
      </w:pPr>
      <w:r>
        <w:t xml:space="preserve">4. 参数与治理控制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控制项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本范围值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治理要求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同步延迟预算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 分钟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超出预算后触发 MONITOR_AGENT 诊断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最大恢复循环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 轮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每轮必须产生新证据或新修复动作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基线批量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1000 行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自动调参只允许降低批量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基线并发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自动调参只允许降低并发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基线超时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240 秒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只能在授权上界内有界增加</w:t>
            </w:r>
          </w:p>
        </w:tc>
      </w:tr>
    </w:tbl>
    <w:p>
      <w:pPr>
        <w:pStyle w:val="Heading1"/>
        <w:keepNext/>
      </w:pPr>
      <w:r>
        <w:t xml:space="preserve">5. 异常与升级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低风险动作必须落在首次授权盒允许的任务、对象、动作、参数上下界和循环次数内。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涉及凭据、权限、DDL、删除或覆盖数据、扩大同步范围、不可逆转换时立即退出自治 Loop。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退出结果必须包含根因、证据来源与时间、所需权限、手工步骤、影响、回滚和验证方法。</w:t>
      </w:r>
    </w:p>
    <w:p>
      <w:pPr>
        <w:pStyle w:val="Heading1"/>
        <w:keepNext/>
      </w:pPr>
      <w:r>
        <w:t xml:space="preserve">6. 检索与引用信息</w:t>
      </w:r>
    </w:p>
    <w:p>
      <w:pPr>
        <w:spacing w:after="140" w:line="320"/>
      </w:pPr>
      <w:r>
        <w:t xml:space="preserve">精确码 DOC-SEC-829；独立锚点 tenant-20-project-201:manual-security-approval；文档标识 rag-eval-tenant-20-project-201-manual-security-approval。RAG 回答必须引用原始 DOCX sourceUri，而不是无来源的中间纯文本。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DOC-SEC-829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安全、审批与自治边界手册</dc:title>
  <dc:creator>DataSmart Govern</dc:creator>
  <dc:description>纯合成中文 RAG 异构评测资料</dc:description>
  <cp:lastModifiedBy>Un-named</cp:lastModifiedBy>
  <cp:revision>1</cp:revision>
  <dcterms:created xsi:type="dcterms:W3CDTF">2026-08-15T17:32:48.987Z</dcterms:created>
  <dcterms:modified xsi:type="dcterms:W3CDTF">2026-08-15T17:32:48.987Z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