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DataSmart Govern 平台测试报告</w:t>
      </w:r>
    </w:p>
    <w:p>
      <w:pPr>
        <w:pStyle w:val="DocumentSubtitle"/>
      </w:pPr>
      <w:r>
        <w:t xml:space="preserve">DataSmart Govern 合成 RAG 评测资料 | 租户 20 项目 201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20 项目 201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DOC-TST-768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tenant-20-project-201:report-platform-test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 天</w:t>
            </w:r>
          </w:p>
        </w:tc>
      </w:tr>
    </w:tbl>
    <w:p>
      <w:pPr>
        <w:pStyle w:val="Heading1"/>
        <w:keepNext/>
      </w:pPr>
      <w:r>
        <w:t xml:space="preserve">1. 文档目的</w:t>
      </w:r>
    </w:p>
    <w:p>
      <w:pPr>
        <w:spacing w:after="140" w:line="320"/>
      </w:pPr>
      <w:r>
        <w:t xml:space="preserve">测试报告覆盖六 Specialist、审批双主体、Kafka 异步桥、RAG 引用、自动恢复和前后端契约。 本文档用于验证 DOCX 解析、中文语义召回、来源引用、时间和可信度字段，不代表任何真实环境。</w:t>
      </w:r>
    </w:p>
    <w:p>
      <w:pPr>
        <w:pStyle w:val="Heading1"/>
        <w:keepNext/>
      </w:pPr>
      <w:r>
        <w:t xml:space="preserve">2. 适用边界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tenantId=20，projectId=201，workspaceKey=tenant-20-project-201。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同主题的其他租户或项目文档属于硬隔离干扰项，必须在向量召回和 Reranker 之前过滤。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模型输出不能替代权限、审批、幂等或审计事实；没有足够证据时必须拒答。</w:t>
      </w:r>
    </w:p>
    <w:p>
      <w:pPr>
        <w:pStyle w:val="Heading1"/>
        <w:keepNext/>
      </w:pPr>
      <w:r>
        <w:t xml:space="preserve">3. 核心流程与说明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Agent 测试</w:t>
      </w:r>
      <w:r>
        <w:t xml:space="preserve">：验证 KNOWLEDGE、DATASOURCE、DATA_SYNC、PRECHECK、RECOVERY、MONITOR 六类 Specialist 的成功和恢复路径。</w:t>
      </w:r>
    </w:p>
    <w:p>
      <w:pPr>
        <w:pStyle w:val="Note"/>
      </w:pPr>
      <w:r>
        <w:t xml:space="preserve">验证点 1：记录来源、发生时间、可信度依据和执行结果。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治理测试</w:t>
      </w:r>
      <w:r>
        <w:t xml:space="preserve">：验证首次授权、审批双主体、幂等、范围隔离、审计和风险升级。</w:t>
      </w:r>
    </w:p>
    <w:p>
      <w:pPr>
        <w:pStyle w:val="Note"/>
      </w:pPr>
      <w:r>
        <w:t xml:space="preserve">验证点 2：记录来源、发生时间、可信度依据和执行结果。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RAG 测试</w:t>
      </w:r>
      <w:r>
        <w:t xml:space="preserve">：验证混合召回、BGE-M3、Reranker、引用来源、时间、可信度和无证据拒答。</w:t>
      </w:r>
    </w:p>
    <w:p>
      <w:pPr>
        <w:pStyle w:val="Note"/>
      </w:pPr>
      <w:r>
        <w:t xml:space="preserve">验证点 3：记录来源、发生时间、可信度依据和执行结果。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执行测试</w:t>
      </w:r>
      <w:r>
        <w:t xml:space="preserve">：验证 Kafka outbox、worker 台账、失败分片 replay、最终状态和 WebSocket 事件形状。</w:t>
      </w:r>
    </w:p>
    <w:p>
      <w:pPr>
        <w:pStyle w:val="Note"/>
      </w:pPr>
      <w:r>
        <w:t xml:space="preserve">验证点 4：记录来源、发生时间、可信度依据和执行结果。</w:t>
      </w:r>
    </w:p>
    <w:p>
      <w:pPr>
        <w:pStyle w:val="Heading1"/>
        <w:keepNext/>
      </w:pPr>
      <w:r>
        <w:t xml:space="preserve">4. 参数与治理控制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控制项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本范围值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治理要求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同步延迟预算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 分钟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超出预算后触发 MONITOR_AGENT 诊断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最大恢复循环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轮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每轮必须产生新证据或新修复动作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基线批量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1000 行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自动调参只允许降低批量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基线并发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自动调参只允许降低并发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基线超时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240 秒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只能在授权上界内有界增加</w:t>
            </w:r>
          </w:p>
        </w:tc>
      </w:tr>
    </w:tbl>
    <w:p>
      <w:pPr>
        <w:pStyle w:val="Heading1"/>
        <w:keepNext/>
      </w:pPr>
      <w:r>
        <w:t xml:space="preserve">5. 异常与升级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低风险动作必须落在首次授权盒允许的任务、对象、动作、参数上下界和循环次数内。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涉及凭据、权限、DDL、删除或覆盖数据、扩大同步范围、不可逆转换时立即退出自治 Loop。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退出结果必须包含根因、证据来源与时间、所需权限、手工步骤、影响、回滚和验证方法。</w:t>
      </w:r>
    </w:p>
    <w:p>
      <w:pPr>
        <w:pStyle w:val="Heading1"/>
        <w:keepNext/>
      </w:pPr>
      <w:r>
        <w:t xml:space="preserve">6. 检索与引用信息</w:t>
      </w:r>
    </w:p>
    <w:p>
      <w:pPr>
        <w:spacing w:after="140" w:line="320"/>
      </w:pPr>
      <w:r>
        <w:t xml:space="preserve">精确码 DOC-TST-768；独立锚点 tenant-20-project-201:report-platform-test；文档标识 rag-eval-tenant-20-project-201-report-platform-test。RAG 回答必须引用原始 DOCX sourceUri，而不是无来源的中间纯文本。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DOC-TST-768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DataSmart Govern 平台测试报告</dc:title>
  <dc:creator>DataSmart Govern</dc:creator>
  <dc:description>纯合成中文 RAG 异构评测资料</dc:description>
  <cp:lastModifiedBy>Un-named</cp:lastModifiedBy>
  <cp:revision>1</cp:revision>
  <dcterms:created xsi:type="dcterms:W3CDTF">2026-08-15T17:32:48.933Z</dcterms:created>
  <dcterms:modified xsi:type="dcterms:W3CDTF">2026-08-15T17:32:48.933Z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