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2A" w:rsidRPr="00314041" w:rsidRDefault="002E7A62" w:rsidP="00314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4041">
        <w:rPr>
          <w:rFonts w:ascii="Times New Roman" w:hAnsi="Times New Roman" w:cs="Times New Roman"/>
          <w:b/>
          <w:sz w:val="28"/>
          <w:szCs w:val="28"/>
        </w:rPr>
        <w:t>Supplementary information</w:t>
      </w:r>
    </w:p>
    <w:p w:rsidR="002E7A62" w:rsidRPr="00314041" w:rsidRDefault="002E7A62">
      <w:pPr>
        <w:rPr>
          <w:rFonts w:ascii="Times New Roman" w:hAnsi="Times New Roman" w:cs="Times New Roman"/>
        </w:rPr>
      </w:pPr>
    </w:p>
    <w:p w:rsidR="002E7A62" w:rsidRPr="00314041" w:rsidRDefault="002E7A62">
      <w:pPr>
        <w:rPr>
          <w:rFonts w:ascii="Times New Roman" w:hAnsi="Times New Roman" w:cs="Times New Roman"/>
        </w:rPr>
      </w:pPr>
    </w:p>
    <w:p w:rsidR="002E7A62" w:rsidRPr="00314041" w:rsidRDefault="002E7A62">
      <w:pPr>
        <w:rPr>
          <w:rFonts w:ascii="Times New Roman" w:hAnsi="Times New Roman" w:cs="Times New Roman"/>
        </w:rPr>
      </w:pPr>
    </w:p>
    <w:p w:rsidR="00314041" w:rsidRPr="00314041" w:rsidRDefault="00314041" w:rsidP="00314041">
      <w:pPr>
        <w:spacing w:after="0" w:line="240" w:lineRule="auto"/>
        <w:jc w:val="center"/>
        <w:rPr>
          <w:rFonts w:ascii="Times" w:hAnsi="Times" w:cs="Times"/>
          <w:b/>
          <w:sz w:val="32"/>
          <w:szCs w:val="32"/>
        </w:rPr>
      </w:pPr>
      <w:r w:rsidRPr="00314041">
        <w:rPr>
          <w:rFonts w:ascii="Times" w:hAnsi="Times" w:cs="Times"/>
          <w:b/>
          <w:sz w:val="32"/>
          <w:szCs w:val="32"/>
        </w:rPr>
        <w:t>Lithium ionic conduction in composites of Li(BH</w:t>
      </w:r>
      <w:r w:rsidRPr="00314041">
        <w:rPr>
          <w:rFonts w:ascii="Times" w:hAnsi="Times" w:cs="Times"/>
          <w:b/>
          <w:sz w:val="32"/>
          <w:szCs w:val="32"/>
          <w:vertAlign w:val="subscript"/>
        </w:rPr>
        <w:t>4</w:t>
      </w:r>
      <w:r w:rsidRPr="00314041">
        <w:rPr>
          <w:rFonts w:ascii="Times" w:hAnsi="Times" w:cs="Times"/>
          <w:b/>
          <w:sz w:val="32"/>
          <w:szCs w:val="32"/>
        </w:rPr>
        <w:t>)</w:t>
      </w:r>
      <w:r w:rsidRPr="00314041">
        <w:rPr>
          <w:rFonts w:ascii="Times" w:hAnsi="Times" w:cs="Times"/>
          <w:b/>
          <w:sz w:val="32"/>
          <w:szCs w:val="32"/>
          <w:vertAlign w:val="subscript"/>
        </w:rPr>
        <w:t>0.75</w:t>
      </w:r>
      <w:r w:rsidRPr="00314041">
        <w:rPr>
          <w:rFonts w:ascii="Times" w:hAnsi="Times" w:cs="Times"/>
          <w:b/>
          <w:sz w:val="32"/>
          <w:szCs w:val="32"/>
        </w:rPr>
        <w:t>I</w:t>
      </w:r>
      <w:r w:rsidRPr="00314041">
        <w:rPr>
          <w:rFonts w:ascii="Times" w:hAnsi="Times" w:cs="Times"/>
          <w:b/>
          <w:sz w:val="32"/>
          <w:szCs w:val="32"/>
          <w:vertAlign w:val="subscript"/>
        </w:rPr>
        <w:t>0.25</w:t>
      </w:r>
      <w:r w:rsidRPr="00314041">
        <w:rPr>
          <w:rFonts w:ascii="Times" w:hAnsi="Times" w:cs="Times"/>
          <w:b/>
          <w:sz w:val="32"/>
          <w:szCs w:val="32"/>
        </w:rPr>
        <w:t xml:space="preserve"> and amorphous 0.75Li</w:t>
      </w:r>
      <w:r w:rsidRPr="00314041">
        <w:rPr>
          <w:rFonts w:ascii="Times" w:hAnsi="Times" w:cs="Times"/>
          <w:b/>
          <w:sz w:val="32"/>
          <w:szCs w:val="32"/>
          <w:vertAlign w:val="subscript"/>
        </w:rPr>
        <w:t>2</w:t>
      </w:r>
      <w:r w:rsidRPr="00314041">
        <w:rPr>
          <w:rFonts w:ascii="Times" w:hAnsi="Times" w:cs="Times"/>
          <w:b/>
          <w:sz w:val="32"/>
          <w:szCs w:val="32"/>
        </w:rPr>
        <w:t>S·0.25P</w:t>
      </w:r>
      <w:r w:rsidRPr="00314041">
        <w:rPr>
          <w:rFonts w:ascii="Times" w:hAnsi="Times" w:cs="Times"/>
          <w:b/>
          <w:sz w:val="32"/>
          <w:szCs w:val="32"/>
          <w:vertAlign w:val="subscript"/>
        </w:rPr>
        <w:t>2</w:t>
      </w:r>
      <w:r w:rsidRPr="00314041">
        <w:rPr>
          <w:rFonts w:ascii="Times" w:hAnsi="Times" w:cs="Times"/>
          <w:b/>
          <w:sz w:val="32"/>
          <w:szCs w:val="32"/>
        </w:rPr>
        <w:t>S</w:t>
      </w:r>
      <w:r w:rsidRPr="00314041">
        <w:rPr>
          <w:rFonts w:ascii="Times" w:hAnsi="Times" w:cs="Times"/>
          <w:b/>
          <w:sz w:val="32"/>
          <w:szCs w:val="32"/>
          <w:vertAlign w:val="subscript"/>
        </w:rPr>
        <w:t>5</w:t>
      </w:r>
      <w:r w:rsidRPr="00314041">
        <w:rPr>
          <w:rFonts w:ascii="Times" w:hAnsi="Times" w:cs="Times"/>
          <w:b/>
          <w:sz w:val="32"/>
          <w:szCs w:val="32"/>
        </w:rPr>
        <w:t xml:space="preserve"> for battery applications</w:t>
      </w:r>
    </w:p>
    <w:p w:rsidR="00314041" w:rsidRPr="00314041" w:rsidRDefault="00314041" w:rsidP="00314041">
      <w:pPr>
        <w:spacing w:after="0" w:line="240" w:lineRule="auto"/>
        <w:jc w:val="center"/>
        <w:rPr>
          <w:rFonts w:ascii="Times" w:hAnsi="Times" w:cs="Times"/>
          <w:b/>
          <w:sz w:val="32"/>
          <w:szCs w:val="32"/>
        </w:rPr>
      </w:pPr>
    </w:p>
    <w:p w:rsidR="00314041" w:rsidRPr="00314041" w:rsidRDefault="00314041" w:rsidP="00314041">
      <w:pPr>
        <w:spacing w:after="0" w:line="240" w:lineRule="auto"/>
        <w:jc w:val="center"/>
        <w:rPr>
          <w:rFonts w:ascii="Times" w:hAnsi="Times" w:cs="Times"/>
          <w:b/>
          <w:sz w:val="24"/>
          <w:szCs w:val="24"/>
        </w:rPr>
      </w:pPr>
    </w:p>
    <w:p w:rsidR="00383ED6" w:rsidRPr="00383ED6" w:rsidRDefault="00383ED6" w:rsidP="00383ED6">
      <w:pPr>
        <w:spacing w:after="0" w:line="240" w:lineRule="auto"/>
        <w:ind w:left="851" w:right="1133"/>
        <w:jc w:val="center"/>
        <w:rPr>
          <w:rFonts w:ascii="Times" w:hAnsi="Times" w:cs="Times"/>
          <w:sz w:val="24"/>
          <w:szCs w:val="24"/>
        </w:rPr>
      </w:pPr>
      <w:r w:rsidRPr="00383ED6">
        <w:rPr>
          <w:rFonts w:ascii="Times" w:hAnsi="Times" w:cs="Times"/>
          <w:sz w:val="24"/>
          <w:szCs w:val="24"/>
        </w:rPr>
        <w:t xml:space="preserve">Abdel El </w:t>
      </w:r>
      <w:proofErr w:type="spellStart"/>
      <w:r w:rsidRPr="00383ED6">
        <w:rPr>
          <w:rFonts w:ascii="Times" w:hAnsi="Times" w:cs="Times"/>
          <w:sz w:val="24"/>
          <w:szCs w:val="24"/>
        </w:rPr>
        <w:t>kharbachi</w:t>
      </w:r>
      <w:r w:rsidRPr="00383ED6">
        <w:rPr>
          <w:rFonts w:ascii="Times" w:hAnsi="Times" w:cs="Times"/>
          <w:sz w:val="24"/>
          <w:szCs w:val="24"/>
          <w:vertAlign w:val="superscript"/>
        </w:rPr>
        <w:t>a</w:t>
      </w:r>
      <w:proofErr w:type="spellEnd"/>
      <w:r w:rsidRPr="00383ED6">
        <w:rPr>
          <w:rFonts w:ascii="Times" w:hAnsi="Times" w:cs="Times"/>
          <w:sz w:val="24"/>
          <w:szCs w:val="24"/>
        </w:rPr>
        <w:t>, Yang Hu</w:t>
      </w:r>
      <w:r w:rsidRPr="00383ED6">
        <w:rPr>
          <w:rFonts w:ascii="Times" w:hAnsi="Times" w:cs="Times"/>
          <w:sz w:val="24"/>
          <w:szCs w:val="24"/>
          <w:vertAlign w:val="superscript"/>
        </w:rPr>
        <w:t>b</w:t>
      </w:r>
      <w:r w:rsidRPr="00383ED6">
        <w:rPr>
          <w:rFonts w:ascii="Times" w:hAnsi="Times" w:cs="Times"/>
          <w:sz w:val="24"/>
          <w:szCs w:val="24"/>
        </w:rPr>
        <w:t xml:space="preserve">, Koji </w:t>
      </w:r>
      <w:proofErr w:type="spellStart"/>
      <w:r w:rsidRPr="00383ED6">
        <w:rPr>
          <w:rFonts w:ascii="Times" w:hAnsi="Times" w:cs="Times"/>
          <w:sz w:val="24"/>
          <w:szCs w:val="24"/>
        </w:rPr>
        <w:t>Yoshida</w:t>
      </w:r>
      <w:r w:rsidRPr="00383ED6">
        <w:rPr>
          <w:rFonts w:ascii="Times" w:hAnsi="Times" w:cs="Times"/>
          <w:sz w:val="24"/>
          <w:szCs w:val="24"/>
          <w:vertAlign w:val="superscript"/>
        </w:rPr>
        <w:t>c</w:t>
      </w:r>
      <w:proofErr w:type="spellEnd"/>
      <w:r w:rsidRPr="00383ED6">
        <w:rPr>
          <w:rFonts w:ascii="Times" w:hAnsi="Times" w:cs="Times"/>
          <w:sz w:val="24"/>
          <w:szCs w:val="24"/>
        </w:rPr>
        <w:t xml:space="preserve">, </w:t>
      </w:r>
      <w:proofErr w:type="spellStart"/>
      <w:r w:rsidRPr="00383ED6">
        <w:rPr>
          <w:rFonts w:ascii="Times" w:hAnsi="Times" w:cs="Times"/>
          <w:sz w:val="24"/>
          <w:szCs w:val="24"/>
        </w:rPr>
        <w:t>Ponniah</w:t>
      </w:r>
      <w:proofErr w:type="spellEnd"/>
      <w:r w:rsidRPr="00383ED6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383ED6">
        <w:rPr>
          <w:rFonts w:ascii="Times" w:hAnsi="Times" w:cs="Times"/>
          <w:sz w:val="24"/>
          <w:szCs w:val="24"/>
        </w:rPr>
        <w:t>Vajeeston</w:t>
      </w:r>
      <w:r w:rsidRPr="00383ED6">
        <w:rPr>
          <w:rFonts w:ascii="Times" w:hAnsi="Times" w:cs="Times"/>
          <w:sz w:val="24"/>
          <w:szCs w:val="24"/>
          <w:vertAlign w:val="superscript"/>
        </w:rPr>
        <w:t>b</w:t>
      </w:r>
      <w:proofErr w:type="spellEnd"/>
      <w:r w:rsidRPr="00383ED6">
        <w:rPr>
          <w:rFonts w:ascii="Times" w:hAnsi="Times" w:cs="Times"/>
          <w:sz w:val="24"/>
          <w:szCs w:val="24"/>
        </w:rPr>
        <w:t xml:space="preserve">, </w:t>
      </w:r>
      <w:proofErr w:type="spellStart"/>
      <w:r w:rsidRPr="00383ED6">
        <w:rPr>
          <w:rFonts w:ascii="Times" w:hAnsi="Times" w:cs="Times"/>
          <w:sz w:val="24"/>
          <w:szCs w:val="24"/>
        </w:rPr>
        <w:t>Sangryun</w:t>
      </w:r>
      <w:proofErr w:type="spellEnd"/>
      <w:r w:rsidRPr="00383ED6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383ED6">
        <w:rPr>
          <w:rFonts w:ascii="Times" w:hAnsi="Times" w:cs="Times"/>
          <w:sz w:val="24"/>
          <w:szCs w:val="24"/>
        </w:rPr>
        <w:t>Kim</w:t>
      </w:r>
      <w:r w:rsidRPr="00383ED6">
        <w:rPr>
          <w:rFonts w:ascii="Times" w:hAnsi="Times" w:cs="Times"/>
          <w:sz w:val="24"/>
          <w:szCs w:val="24"/>
          <w:vertAlign w:val="superscript"/>
        </w:rPr>
        <w:t>c</w:t>
      </w:r>
      <w:proofErr w:type="spellEnd"/>
      <w:r w:rsidRPr="00383ED6">
        <w:rPr>
          <w:rFonts w:ascii="Times" w:hAnsi="Times" w:cs="Times"/>
          <w:sz w:val="24"/>
          <w:szCs w:val="24"/>
        </w:rPr>
        <w:t xml:space="preserve">, Magnus H. </w:t>
      </w:r>
      <w:proofErr w:type="spellStart"/>
      <w:r w:rsidRPr="00383ED6">
        <w:rPr>
          <w:rFonts w:ascii="Times" w:hAnsi="Times" w:cs="Times"/>
          <w:sz w:val="24"/>
          <w:szCs w:val="24"/>
        </w:rPr>
        <w:t>Sørby</w:t>
      </w:r>
      <w:r w:rsidRPr="00383ED6">
        <w:rPr>
          <w:rFonts w:ascii="Times" w:hAnsi="Times" w:cs="Times"/>
          <w:sz w:val="24"/>
          <w:szCs w:val="24"/>
          <w:vertAlign w:val="superscript"/>
        </w:rPr>
        <w:t>a</w:t>
      </w:r>
      <w:proofErr w:type="spellEnd"/>
      <w:r w:rsidRPr="00383ED6">
        <w:rPr>
          <w:rFonts w:ascii="Times" w:hAnsi="Times" w:cs="Times"/>
          <w:sz w:val="24"/>
          <w:szCs w:val="24"/>
        </w:rPr>
        <w:t>, Shin-</w:t>
      </w:r>
      <w:proofErr w:type="spellStart"/>
      <w:r w:rsidRPr="00383ED6">
        <w:rPr>
          <w:rFonts w:ascii="Times" w:hAnsi="Times" w:cs="Times"/>
          <w:sz w:val="24"/>
          <w:szCs w:val="24"/>
        </w:rPr>
        <w:t>ichi</w:t>
      </w:r>
      <w:proofErr w:type="spellEnd"/>
      <w:r w:rsidRPr="00383ED6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383ED6">
        <w:rPr>
          <w:rFonts w:ascii="Times" w:hAnsi="Times" w:cs="Times"/>
          <w:sz w:val="24"/>
          <w:szCs w:val="24"/>
        </w:rPr>
        <w:t>Orimo</w:t>
      </w:r>
      <w:r w:rsidRPr="00383ED6">
        <w:rPr>
          <w:rFonts w:ascii="Times" w:hAnsi="Times" w:cs="Times"/>
          <w:sz w:val="24"/>
          <w:szCs w:val="24"/>
          <w:vertAlign w:val="superscript"/>
        </w:rPr>
        <w:t>c</w:t>
      </w:r>
      <w:proofErr w:type="gramStart"/>
      <w:r w:rsidRPr="00383ED6">
        <w:rPr>
          <w:rFonts w:ascii="Times" w:hAnsi="Times" w:cs="Times"/>
          <w:sz w:val="24"/>
          <w:szCs w:val="24"/>
          <w:vertAlign w:val="superscript"/>
        </w:rPr>
        <w:t>,d</w:t>
      </w:r>
      <w:proofErr w:type="spellEnd"/>
      <w:proofErr w:type="gramEnd"/>
      <w:r w:rsidRPr="00383ED6">
        <w:rPr>
          <w:rFonts w:ascii="Times" w:hAnsi="Times" w:cs="Times"/>
          <w:sz w:val="24"/>
          <w:szCs w:val="24"/>
        </w:rPr>
        <w:t xml:space="preserve">, Helmer </w:t>
      </w:r>
      <w:proofErr w:type="spellStart"/>
      <w:r w:rsidRPr="00383ED6">
        <w:rPr>
          <w:rFonts w:ascii="Times" w:hAnsi="Times" w:cs="Times"/>
          <w:sz w:val="24"/>
          <w:szCs w:val="24"/>
        </w:rPr>
        <w:t>Fjellvåg</w:t>
      </w:r>
      <w:r w:rsidRPr="00383ED6">
        <w:rPr>
          <w:rFonts w:ascii="Times" w:hAnsi="Times" w:cs="Times"/>
          <w:sz w:val="24"/>
          <w:szCs w:val="24"/>
          <w:vertAlign w:val="superscript"/>
        </w:rPr>
        <w:t>b</w:t>
      </w:r>
      <w:proofErr w:type="spellEnd"/>
      <w:r w:rsidRPr="00383ED6">
        <w:rPr>
          <w:rFonts w:ascii="Times" w:hAnsi="Times" w:cs="Times"/>
          <w:sz w:val="24"/>
          <w:szCs w:val="24"/>
        </w:rPr>
        <w:t xml:space="preserve">, Bjørn C. </w:t>
      </w:r>
      <w:proofErr w:type="spellStart"/>
      <w:r w:rsidRPr="00383ED6">
        <w:rPr>
          <w:rFonts w:ascii="Times" w:hAnsi="Times" w:cs="Times"/>
          <w:sz w:val="24"/>
          <w:szCs w:val="24"/>
        </w:rPr>
        <w:t>Hauback</w:t>
      </w:r>
      <w:r w:rsidRPr="00383ED6">
        <w:rPr>
          <w:rFonts w:ascii="Times" w:hAnsi="Times" w:cs="Times"/>
          <w:sz w:val="24"/>
          <w:szCs w:val="24"/>
          <w:vertAlign w:val="superscript"/>
        </w:rPr>
        <w:t>a</w:t>
      </w:r>
      <w:proofErr w:type="spellEnd"/>
    </w:p>
    <w:p w:rsidR="00314041" w:rsidRPr="00314041" w:rsidRDefault="00314041" w:rsidP="00314041">
      <w:pPr>
        <w:spacing w:after="0" w:line="240" w:lineRule="auto"/>
        <w:jc w:val="center"/>
        <w:rPr>
          <w:rFonts w:ascii="Times" w:hAnsi="Times" w:cs="Times"/>
          <w:b/>
          <w:sz w:val="24"/>
          <w:szCs w:val="24"/>
        </w:rPr>
      </w:pPr>
    </w:p>
    <w:p w:rsidR="00314041" w:rsidRPr="00314041" w:rsidRDefault="00314041" w:rsidP="00314041">
      <w:pPr>
        <w:spacing w:after="0" w:line="240" w:lineRule="auto"/>
        <w:jc w:val="center"/>
        <w:rPr>
          <w:rFonts w:ascii="Times" w:hAnsi="Times" w:cs="Times"/>
          <w:sz w:val="24"/>
          <w:szCs w:val="24"/>
        </w:rPr>
      </w:pPr>
      <w:r w:rsidRPr="00314041">
        <w:rPr>
          <w:rFonts w:ascii="Times" w:hAnsi="Times" w:cs="Times"/>
          <w:sz w:val="24"/>
          <w:szCs w:val="24"/>
        </w:rPr>
        <w:t xml:space="preserve"> </w:t>
      </w:r>
      <w:r w:rsidRPr="00314041">
        <w:rPr>
          <w:rFonts w:ascii="Times" w:hAnsi="Times" w:cs="Times"/>
          <w:sz w:val="24"/>
          <w:szCs w:val="24"/>
          <w:vertAlign w:val="superscript"/>
        </w:rPr>
        <w:t>(a)</w:t>
      </w:r>
      <w:r w:rsidRPr="00314041">
        <w:rPr>
          <w:rFonts w:ascii="Times" w:hAnsi="Times" w:cs="Times"/>
          <w:sz w:val="24"/>
          <w:szCs w:val="24"/>
        </w:rPr>
        <w:t xml:space="preserve"> Department for Neutron Materials Characterization, Institute for Energy Technology, P.O. Box 40, NO-2027 </w:t>
      </w:r>
      <w:proofErr w:type="spellStart"/>
      <w:r w:rsidRPr="00314041">
        <w:rPr>
          <w:rFonts w:ascii="Times" w:hAnsi="Times" w:cs="Times"/>
          <w:sz w:val="24"/>
          <w:szCs w:val="24"/>
        </w:rPr>
        <w:t>Kjeller</w:t>
      </w:r>
      <w:proofErr w:type="spellEnd"/>
      <w:r w:rsidRPr="00314041">
        <w:rPr>
          <w:rFonts w:ascii="Times" w:hAnsi="Times" w:cs="Times"/>
          <w:sz w:val="24"/>
          <w:szCs w:val="24"/>
        </w:rPr>
        <w:t xml:space="preserve">, Norway </w:t>
      </w:r>
    </w:p>
    <w:p w:rsidR="00314041" w:rsidRPr="00314041" w:rsidRDefault="00314041" w:rsidP="00314041">
      <w:pPr>
        <w:spacing w:after="0" w:line="240" w:lineRule="auto"/>
        <w:jc w:val="center"/>
        <w:rPr>
          <w:rFonts w:ascii="Times" w:hAnsi="Times" w:cs="Times"/>
          <w:sz w:val="24"/>
          <w:szCs w:val="24"/>
        </w:rPr>
      </w:pPr>
      <w:r w:rsidRPr="00314041">
        <w:rPr>
          <w:rFonts w:ascii="Times" w:hAnsi="Times" w:cs="Times"/>
          <w:sz w:val="24"/>
          <w:szCs w:val="24"/>
          <w:vertAlign w:val="superscript"/>
        </w:rPr>
        <w:t>(b)</w:t>
      </w:r>
      <w:r w:rsidRPr="00314041">
        <w:rPr>
          <w:rFonts w:ascii="Times" w:hAnsi="Times" w:cs="Times"/>
          <w:sz w:val="24"/>
          <w:szCs w:val="24"/>
        </w:rPr>
        <w:t xml:space="preserve"> Centre for Materials Science and Nanotechnology, University of Oslo, P.O. Box 1126, </w:t>
      </w:r>
      <w:proofErr w:type="spellStart"/>
      <w:r w:rsidRPr="00314041">
        <w:rPr>
          <w:rFonts w:ascii="Times" w:hAnsi="Times" w:cs="Times"/>
          <w:sz w:val="24"/>
          <w:szCs w:val="24"/>
        </w:rPr>
        <w:t>Blindern</w:t>
      </w:r>
      <w:proofErr w:type="spellEnd"/>
      <w:r w:rsidRPr="00314041">
        <w:rPr>
          <w:rFonts w:ascii="Times" w:hAnsi="Times" w:cs="Times"/>
          <w:sz w:val="24"/>
          <w:szCs w:val="24"/>
        </w:rPr>
        <w:t>, NO-0318 Oslo, Norway</w:t>
      </w:r>
    </w:p>
    <w:p w:rsidR="00314041" w:rsidRPr="00314041" w:rsidRDefault="00314041" w:rsidP="00314041">
      <w:pPr>
        <w:spacing w:after="0" w:line="240" w:lineRule="auto"/>
        <w:jc w:val="center"/>
        <w:rPr>
          <w:rFonts w:ascii="Times" w:hAnsi="Times" w:cs="Times"/>
          <w:sz w:val="24"/>
          <w:szCs w:val="24"/>
        </w:rPr>
      </w:pPr>
      <w:r w:rsidRPr="00314041">
        <w:rPr>
          <w:rFonts w:ascii="Times" w:hAnsi="Times" w:cs="Times"/>
          <w:sz w:val="24"/>
          <w:szCs w:val="24"/>
          <w:vertAlign w:val="superscript"/>
        </w:rPr>
        <w:t>(c)</w:t>
      </w:r>
      <w:r w:rsidRPr="00314041">
        <w:rPr>
          <w:rFonts w:ascii="Times" w:hAnsi="Times" w:cs="Times"/>
          <w:sz w:val="24"/>
          <w:szCs w:val="24"/>
        </w:rPr>
        <w:t xml:space="preserve"> Institute for Materials Research, Tohoku University, Sendai 980-8577, Japan</w:t>
      </w:r>
    </w:p>
    <w:p w:rsidR="00314041" w:rsidRPr="00314041" w:rsidRDefault="00314041" w:rsidP="00314041">
      <w:pPr>
        <w:spacing w:after="0" w:line="240" w:lineRule="auto"/>
        <w:jc w:val="center"/>
        <w:rPr>
          <w:rFonts w:ascii="Times" w:hAnsi="Times" w:cs="Times"/>
          <w:sz w:val="24"/>
          <w:szCs w:val="24"/>
        </w:rPr>
      </w:pPr>
      <w:r w:rsidRPr="00314041">
        <w:rPr>
          <w:rFonts w:ascii="Times" w:hAnsi="Times" w:cs="Times"/>
          <w:sz w:val="24"/>
          <w:szCs w:val="24"/>
          <w:vertAlign w:val="superscript"/>
        </w:rPr>
        <w:t>(d)</w:t>
      </w:r>
      <w:r w:rsidRPr="00314041">
        <w:rPr>
          <w:rFonts w:ascii="Times" w:hAnsi="Times" w:cs="Times"/>
          <w:sz w:val="24"/>
          <w:szCs w:val="24"/>
        </w:rPr>
        <w:t xml:space="preserve"> WPI-Advanced Institute for Materials Research, Tohoku University, Sendai 980-8577, Japan</w:t>
      </w:r>
    </w:p>
    <w:p w:rsidR="002E7A62" w:rsidRPr="002E7A62" w:rsidRDefault="002E7A62" w:rsidP="002E7A62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2E7A62" w:rsidRPr="002E7A62" w:rsidRDefault="002E7A62" w:rsidP="002E7A62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2E7A62" w:rsidRPr="002E7A62" w:rsidRDefault="002E7A62" w:rsidP="002E7A62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2E7A62" w:rsidRPr="002E7A62" w:rsidRDefault="002E7A62" w:rsidP="002E7A62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2E7A62" w:rsidRPr="008F6F6D" w:rsidRDefault="002E7A62" w:rsidP="002E7A62">
      <w:pPr>
        <w:pStyle w:val="Overskrift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8F6F6D">
        <w:rPr>
          <w:rFonts w:ascii="Times New Roman" w:hAnsi="Times New Roman" w:cs="Times New Roman"/>
          <w:sz w:val="28"/>
          <w:szCs w:val="28"/>
        </w:rPr>
        <w:t>Experimental</w:t>
      </w:r>
    </w:p>
    <w:p w:rsidR="002E7A62" w:rsidRPr="00001DCC" w:rsidRDefault="002E7A62">
      <w:pPr>
        <w:rPr>
          <w:rFonts w:ascii="Times New Roman" w:hAnsi="Times New Roman" w:cs="Times New Roman"/>
        </w:rPr>
      </w:pPr>
    </w:p>
    <w:p w:rsidR="002E7A62" w:rsidRPr="002E7A62" w:rsidRDefault="002E7A62" w:rsidP="002E7A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A62">
        <w:rPr>
          <w:rFonts w:ascii="Times New Roman" w:hAnsi="Times New Roman" w:cs="Times New Roman"/>
          <w:sz w:val="24"/>
          <w:szCs w:val="24"/>
        </w:rPr>
        <w:t xml:space="preserve">DSC/TGA thermal analysis was performed with a </w:t>
      </w:r>
      <w:proofErr w:type="spellStart"/>
      <w:r w:rsidRPr="002E7A62">
        <w:rPr>
          <w:rFonts w:ascii="Times New Roman" w:hAnsi="Times New Roman" w:cs="Times New Roman"/>
          <w:sz w:val="24"/>
          <w:szCs w:val="24"/>
        </w:rPr>
        <w:t>Netzsch</w:t>
      </w:r>
      <w:proofErr w:type="spellEnd"/>
      <w:r w:rsidRPr="002E7A62">
        <w:rPr>
          <w:rFonts w:ascii="Times New Roman" w:hAnsi="Times New Roman" w:cs="Times New Roman"/>
          <w:sz w:val="24"/>
          <w:szCs w:val="24"/>
        </w:rPr>
        <w:t xml:space="preserve"> STA 449 F3 Jupiter instrument in the 25–400</w:t>
      </w:r>
      <w:r w:rsidR="008F6F6D">
        <w:rPr>
          <w:rFonts w:ascii="Times New Roman" w:hAnsi="Times New Roman" w:cs="Times New Roman"/>
          <w:sz w:val="24"/>
          <w:szCs w:val="24"/>
        </w:rPr>
        <w:t xml:space="preserve"> </w:t>
      </w:r>
      <w:r w:rsidRPr="002E7A62">
        <w:rPr>
          <w:rFonts w:ascii="Times New Roman" w:hAnsi="Times New Roman" w:cs="Times New Roman"/>
          <w:sz w:val="24"/>
          <w:szCs w:val="24"/>
        </w:rPr>
        <w:t>°C temperature range. Samples were measured with Al crucibles at a heating rate of 10°C</w:t>
      </w:r>
      <w:r w:rsidR="005B6BAF">
        <w:rPr>
          <w:rFonts w:ascii="Times New Roman" w:hAnsi="Times New Roman" w:cs="Times New Roman"/>
          <w:sz w:val="24"/>
          <w:szCs w:val="24"/>
        </w:rPr>
        <w:t xml:space="preserve"> </w:t>
      </w:r>
      <w:r w:rsidRPr="002E7A62">
        <w:rPr>
          <w:rFonts w:ascii="Times New Roman" w:hAnsi="Times New Roman" w:cs="Times New Roman"/>
          <w:sz w:val="24"/>
          <w:szCs w:val="24"/>
        </w:rPr>
        <w:t>min</w:t>
      </w:r>
      <w:r w:rsidR="005B6BAF" w:rsidRPr="008F6F6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2E7A62">
        <w:rPr>
          <w:rFonts w:ascii="Times New Roman" w:hAnsi="Times New Roman" w:cs="Times New Roman"/>
          <w:sz w:val="24"/>
          <w:szCs w:val="24"/>
        </w:rPr>
        <w:t xml:space="preserve"> and 50 mL</w:t>
      </w:r>
      <w:r w:rsidR="008F6F6D">
        <w:rPr>
          <w:rFonts w:ascii="Times New Roman" w:hAnsi="Times New Roman" w:cs="Times New Roman"/>
          <w:sz w:val="24"/>
          <w:szCs w:val="24"/>
        </w:rPr>
        <w:t xml:space="preserve"> </w:t>
      </w:r>
      <w:r w:rsidR="008F6F6D" w:rsidRPr="002E7A62">
        <w:rPr>
          <w:rFonts w:ascii="Times New Roman" w:hAnsi="Times New Roman" w:cs="Times New Roman"/>
          <w:sz w:val="24"/>
          <w:szCs w:val="24"/>
        </w:rPr>
        <w:t>min</w:t>
      </w:r>
      <w:r w:rsidR="008F6F6D" w:rsidRPr="008F6F6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="008F6F6D" w:rsidRPr="008F6F6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F6F6D" w:rsidRPr="002E7A62">
        <w:rPr>
          <w:rFonts w:ascii="Times New Roman" w:hAnsi="Times New Roman" w:cs="Times New Roman"/>
          <w:sz w:val="24"/>
          <w:szCs w:val="24"/>
        </w:rPr>
        <w:t xml:space="preserve"> </w:t>
      </w:r>
      <w:r w:rsidRPr="002E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2">
        <w:rPr>
          <w:rFonts w:ascii="Times New Roman" w:hAnsi="Times New Roman" w:cs="Times New Roman"/>
          <w:sz w:val="24"/>
          <w:szCs w:val="24"/>
        </w:rPr>
        <w:t>Ar</w:t>
      </w:r>
      <w:proofErr w:type="spellEnd"/>
      <w:proofErr w:type="gramEnd"/>
      <w:r w:rsidRPr="002E7A62">
        <w:rPr>
          <w:rFonts w:ascii="Times New Roman" w:hAnsi="Times New Roman" w:cs="Times New Roman"/>
          <w:sz w:val="24"/>
          <w:szCs w:val="24"/>
        </w:rPr>
        <w:t xml:space="preserve"> flow.</w:t>
      </w:r>
    </w:p>
    <w:p w:rsidR="002E7A62" w:rsidRPr="002E7A62" w:rsidRDefault="002E7A62">
      <w:pPr>
        <w:rPr>
          <w:rFonts w:ascii="Times New Roman" w:hAnsi="Times New Roman" w:cs="Times New Roman"/>
        </w:rPr>
      </w:pPr>
    </w:p>
    <w:p w:rsidR="002E7A62" w:rsidRDefault="002E7A62">
      <w:pPr>
        <w:rPr>
          <w:rFonts w:ascii="Times New Roman" w:hAnsi="Times New Roman" w:cs="Times New Roman"/>
        </w:rPr>
      </w:pPr>
    </w:p>
    <w:p w:rsidR="00001DCC" w:rsidRDefault="00001DCC">
      <w:pPr>
        <w:rPr>
          <w:rFonts w:ascii="Times New Roman" w:hAnsi="Times New Roman" w:cs="Times New Roman"/>
        </w:rPr>
      </w:pPr>
    </w:p>
    <w:p w:rsidR="00001DCC" w:rsidRDefault="00314041" w:rsidP="00314041">
      <w:pPr>
        <w:jc w:val="center"/>
        <w:rPr>
          <w:rFonts w:ascii="Times New Roman" w:hAnsi="Times New Roman" w:cs="Times New Roman"/>
        </w:rPr>
      </w:pPr>
      <w:r w:rsidRPr="00314041">
        <w:rPr>
          <w:noProof/>
          <w:lang w:eastAsia="nb-NO"/>
        </w:rPr>
        <w:lastRenderedPageBreak/>
        <w:drawing>
          <wp:inline distT="0" distB="0" distL="0" distR="0">
            <wp:extent cx="3240000" cy="2262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6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CC" w:rsidRPr="00314041" w:rsidRDefault="00314041" w:rsidP="00314041">
      <w:pPr>
        <w:pStyle w:val="Bildetekst"/>
        <w:jc w:val="center"/>
        <w:rPr>
          <w:b w:val="0"/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Figure S1.</w:t>
      </w:r>
      <w:r w:rsidRPr="003E0234">
        <w:rPr>
          <w:color w:val="000000" w:themeColor="text1"/>
          <w:sz w:val="24"/>
          <w:szCs w:val="24"/>
          <w:lang w:val="en-GB"/>
        </w:rPr>
        <w:t xml:space="preserve"> </w:t>
      </w:r>
      <w:r w:rsidRPr="00314041">
        <w:rPr>
          <w:color w:val="000000" w:themeColor="text1"/>
          <w:sz w:val="24"/>
          <w:szCs w:val="24"/>
          <w:lang w:val="en-GB"/>
        </w:rPr>
        <w:t xml:space="preserve"> </w:t>
      </w:r>
      <w:r>
        <w:rPr>
          <w:b w:val="0"/>
          <w:color w:val="000000" w:themeColor="text1"/>
          <w:sz w:val="24"/>
          <w:szCs w:val="24"/>
          <w:lang w:val="en-GB"/>
        </w:rPr>
        <w:t xml:space="preserve">DSC analysis with simultaneous mass loss record for the LI/LPS system </w:t>
      </w:r>
      <w:r w:rsidRPr="00314041">
        <w:rPr>
          <w:b w:val="0"/>
          <w:color w:val="000000" w:themeColor="text1"/>
          <w:sz w:val="24"/>
          <w:szCs w:val="24"/>
          <w:lang w:val="en-GB"/>
        </w:rPr>
        <w:t>(α = 0.33)</w:t>
      </w:r>
      <w:r>
        <w:rPr>
          <w:b w:val="0"/>
          <w:color w:val="000000" w:themeColor="text1"/>
          <w:sz w:val="24"/>
          <w:szCs w:val="24"/>
          <w:lang w:val="en-GB"/>
        </w:rPr>
        <w:t>.</w:t>
      </w:r>
    </w:p>
    <w:p w:rsidR="00001DCC" w:rsidRPr="00314041" w:rsidRDefault="00001DCC">
      <w:pPr>
        <w:rPr>
          <w:rFonts w:ascii="Times New Roman" w:hAnsi="Times New Roman" w:cs="Times New Roman"/>
          <w:lang w:val="en-GB"/>
        </w:rPr>
      </w:pPr>
    </w:p>
    <w:p w:rsidR="00001DCC" w:rsidRDefault="00001DCC">
      <w:pPr>
        <w:rPr>
          <w:rFonts w:ascii="Times New Roman" w:hAnsi="Times New Roman" w:cs="Times New Roman"/>
        </w:rPr>
      </w:pPr>
      <w:bookmarkStart w:id="0" w:name="_GoBack"/>
      <w:bookmarkEnd w:id="0"/>
    </w:p>
    <w:p w:rsidR="00001DCC" w:rsidRPr="003E0234" w:rsidRDefault="00001DCC" w:rsidP="00001DCC">
      <w:pPr>
        <w:pStyle w:val="Bildetekst"/>
        <w:rPr>
          <w:b w:val="0"/>
          <w:color w:val="000000" w:themeColor="text1"/>
          <w:sz w:val="24"/>
          <w:szCs w:val="24"/>
          <w:lang w:val="en-GB"/>
        </w:rPr>
      </w:pPr>
      <w:r w:rsidRPr="003E0234">
        <w:rPr>
          <w:color w:val="000000" w:themeColor="text1"/>
          <w:sz w:val="24"/>
          <w:szCs w:val="24"/>
          <w:lang w:val="en-GB"/>
        </w:rPr>
        <w:t xml:space="preserve">Table ST </w:t>
      </w:r>
      <w:r w:rsidR="0005393D" w:rsidRPr="0005393D">
        <w:rPr>
          <w:color w:val="000000" w:themeColor="text1"/>
          <w:sz w:val="24"/>
          <w:szCs w:val="24"/>
          <w:lang w:val="en-US"/>
        </w:rPr>
        <w:t>1</w:t>
      </w:r>
      <w:r w:rsidR="00314041">
        <w:rPr>
          <w:color w:val="000000" w:themeColor="text1"/>
          <w:sz w:val="24"/>
          <w:szCs w:val="24"/>
          <w:lang w:val="en-US"/>
        </w:rPr>
        <w:t>.</w:t>
      </w:r>
      <w:r w:rsidRPr="003E0234">
        <w:rPr>
          <w:color w:val="000000" w:themeColor="text1"/>
          <w:sz w:val="24"/>
          <w:szCs w:val="24"/>
          <w:lang w:val="en-GB"/>
        </w:rPr>
        <w:t xml:space="preserve"> </w:t>
      </w:r>
      <w:r w:rsidRPr="003E0234">
        <w:rPr>
          <w:b w:val="0"/>
          <w:color w:val="000000" w:themeColor="text1"/>
          <w:sz w:val="24"/>
          <w:szCs w:val="24"/>
          <w:lang w:val="en-GB"/>
        </w:rPr>
        <w:t xml:space="preserve"> Experimentally observed and theoretically calculated (derived from the total energies) equilibrium lattice parameters (</w:t>
      </w:r>
      <w:r w:rsidRPr="003E0234">
        <w:rPr>
          <w:b w:val="0"/>
          <w:i/>
          <w:color w:val="000000" w:themeColor="text1"/>
          <w:sz w:val="24"/>
          <w:szCs w:val="24"/>
          <w:lang w:val="en-GB"/>
        </w:rPr>
        <w:t>a</w:t>
      </w:r>
      <w:r>
        <w:rPr>
          <w:b w:val="0"/>
          <w:i/>
          <w:color w:val="000000" w:themeColor="text1"/>
          <w:sz w:val="24"/>
          <w:szCs w:val="24"/>
          <w:lang w:val="en-GB"/>
        </w:rPr>
        <w:t>, b</w:t>
      </w:r>
      <w:r w:rsidRPr="003E0234">
        <w:rPr>
          <w:b w:val="0"/>
          <w:color w:val="000000" w:themeColor="text1"/>
          <w:sz w:val="24"/>
          <w:szCs w:val="24"/>
          <w:lang w:val="en-GB"/>
        </w:rPr>
        <w:t xml:space="preserve"> and </w:t>
      </w:r>
      <w:r w:rsidRPr="003E0234">
        <w:rPr>
          <w:b w:val="0"/>
          <w:i/>
          <w:color w:val="000000" w:themeColor="text1"/>
          <w:sz w:val="24"/>
          <w:szCs w:val="24"/>
          <w:lang w:val="en-GB"/>
        </w:rPr>
        <w:t>c</w:t>
      </w:r>
      <w:r w:rsidRPr="003E0234">
        <w:rPr>
          <w:b w:val="0"/>
          <w:color w:val="000000" w:themeColor="text1"/>
          <w:sz w:val="24"/>
          <w:szCs w:val="24"/>
          <w:lang w:val="en-GB"/>
        </w:rPr>
        <w:t xml:space="preserve"> in Å) for </w:t>
      </w:r>
      <w:r>
        <w:rPr>
          <w:b w:val="0"/>
          <w:color w:val="000000" w:themeColor="text1"/>
          <w:sz w:val="24"/>
          <w:szCs w:val="24"/>
          <w:lang w:val="en-GB"/>
        </w:rPr>
        <w:t>LiBH</w:t>
      </w:r>
      <w:r w:rsidRPr="00304DA4">
        <w:rPr>
          <w:b w:val="0"/>
          <w:color w:val="000000" w:themeColor="text1"/>
          <w:sz w:val="24"/>
          <w:szCs w:val="24"/>
          <w:vertAlign w:val="subscript"/>
          <w:lang w:val="en-GB"/>
        </w:rPr>
        <w:t>4</w:t>
      </w:r>
      <w:r w:rsidRPr="003E0234">
        <w:rPr>
          <w:b w:val="0"/>
          <w:color w:val="000000" w:themeColor="text1"/>
          <w:sz w:val="24"/>
          <w:szCs w:val="24"/>
          <w:vertAlign w:val="subscript"/>
          <w:lang w:val="en-GB"/>
        </w:rPr>
        <w:t xml:space="preserve"> </w:t>
      </w:r>
      <w:r w:rsidRPr="003E0234">
        <w:rPr>
          <w:b w:val="0"/>
          <w:color w:val="000000" w:themeColor="text1"/>
          <w:sz w:val="24"/>
          <w:szCs w:val="24"/>
          <w:lang w:val="en-GB"/>
        </w:rPr>
        <w:t xml:space="preserve">polymorphs.  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88"/>
        <w:gridCol w:w="2360"/>
        <w:gridCol w:w="2220"/>
        <w:gridCol w:w="2220"/>
      </w:tblGrid>
      <w:tr w:rsidR="00001DCC" w:rsidRPr="003E0234" w:rsidTr="00FC42A8">
        <w:tc>
          <w:tcPr>
            <w:tcW w:w="2488" w:type="dxa"/>
            <w:vMerge w:val="restart"/>
          </w:tcPr>
          <w:p w:rsidR="00001DCC" w:rsidRPr="003E0234" w:rsidRDefault="00001DCC" w:rsidP="00FC42A8">
            <w:pPr>
              <w:jc w:val="center"/>
              <w:rPr>
                <w:color w:val="000000" w:themeColor="text1"/>
                <w:lang w:val="en-GB"/>
              </w:rPr>
            </w:pPr>
            <w:r w:rsidRPr="003E0234">
              <w:rPr>
                <w:color w:val="000000" w:themeColor="text1"/>
                <w:lang w:val="en-GB"/>
              </w:rPr>
              <w:t>Compound</w:t>
            </w:r>
          </w:p>
        </w:tc>
        <w:tc>
          <w:tcPr>
            <w:tcW w:w="2360" w:type="dxa"/>
            <w:vMerge w:val="restart"/>
          </w:tcPr>
          <w:p w:rsidR="00001DCC" w:rsidRPr="003E0234" w:rsidRDefault="00001DCC" w:rsidP="00FC42A8">
            <w:pPr>
              <w:jc w:val="center"/>
              <w:rPr>
                <w:color w:val="000000" w:themeColor="text1"/>
                <w:lang w:val="en-GB"/>
              </w:rPr>
            </w:pPr>
            <w:r w:rsidRPr="003E0234">
              <w:rPr>
                <w:color w:val="000000" w:themeColor="text1"/>
              </w:rPr>
              <w:t>Space Group</w:t>
            </w:r>
          </w:p>
        </w:tc>
        <w:tc>
          <w:tcPr>
            <w:tcW w:w="4440" w:type="dxa"/>
            <w:gridSpan w:val="2"/>
          </w:tcPr>
          <w:p w:rsidR="00001DCC" w:rsidRPr="003E0234" w:rsidRDefault="00001DCC" w:rsidP="00FC42A8">
            <w:pPr>
              <w:jc w:val="center"/>
              <w:rPr>
                <w:color w:val="000000" w:themeColor="text1"/>
                <w:lang w:val="en-GB"/>
              </w:rPr>
            </w:pPr>
            <w:r w:rsidRPr="003E0234">
              <w:rPr>
                <w:color w:val="000000" w:themeColor="text1"/>
              </w:rPr>
              <w:t>Cell parameters in Å</w:t>
            </w:r>
          </w:p>
        </w:tc>
      </w:tr>
      <w:tr w:rsidR="00001DCC" w:rsidRPr="003E0234" w:rsidTr="00FC42A8">
        <w:tc>
          <w:tcPr>
            <w:tcW w:w="2488" w:type="dxa"/>
            <w:vMerge/>
          </w:tcPr>
          <w:p w:rsidR="00001DCC" w:rsidRPr="003E0234" w:rsidRDefault="00001DCC" w:rsidP="00FC42A8">
            <w:pPr>
              <w:rPr>
                <w:color w:val="000000" w:themeColor="text1"/>
                <w:lang w:val="en-GB"/>
              </w:rPr>
            </w:pPr>
          </w:p>
        </w:tc>
        <w:tc>
          <w:tcPr>
            <w:tcW w:w="2360" w:type="dxa"/>
            <w:vMerge/>
          </w:tcPr>
          <w:p w:rsidR="00001DCC" w:rsidRPr="003E0234" w:rsidRDefault="00001DCC" w:rsidP="00FC42A8">
            <w:pPr>
              <w:rPr>
                <w:color w:val="000000" w:themeColor="text1"/>
                <w:lang w:val="en-GB"/>
              </w:rPr>
            </w:pPr>
          </w:p>
        </w:tc>
        <w:tc>
          <w:tcPr>
            <w:tcW w:w="2220" w:type="dxa"/>
          </w:tcPr>
          <w:p w:rsidR="00001DCC" w:rsidRPr="003E0234" w:rsidRDefault="00001DCC" w:rsidP="00FC42A8">
            <w:pPr>
              <w:rPr>
                <w:color w:val="000000" w:themeColor="text1"/>
                <w:lang w:val="en-GB"/>
              </w:rPr>
            </w:pPr>
            <w:r w:rsidRPr="003E0234">
              <w:rPr>
                <w:color w:val="000000" w:themeColor="text1"/>
                <w:lang w:val="en-GB"/>
              </w:rPr>
              <w:t>Experiment</w:t>
            </w:r>
          </w:p>
        </w:tc>
        <w:tc>
          <w:tcPr>
            <w:tcW w:w="2220" w:type="dxa"/>
          </w:tcPr>
          <w:p w:rsidR="00001DCC" w:rsidRPr="003E0234" w:rsidRDefault="00001DCC" w:rsidP="00FC42A8">
            <w:pPr>
              <w:rPr>
                <w:color w:val="000000" w:themeColor="text1"/>
                <w:lang w:val="en-GB"/>
              </w:rPr>
            </w:pPr>
            <w:r w:rsidRPr="003E0234">
              <w:rPr>
                <w:color w:val="000000" w:themeColor="text1"/>
                <w:lang w:val="en-GB"/>
              </w:rPr>
              <w:t>Theory</w:t>
            </w:r>
          </w:p>
        </w:tc>
      </w:tr>
      <w:tr w:rsidR="00001DCC" w:rsidRPr="000115D1" w:rsidTr="00FC42A8">
        <w:trPr>
          <w:trHeight w:val="705"/>
        </w:trPr>
        <w:tc>
          <w:tcPr>
            <w:tcW w:w="2488" w:type="dxa"/>
            <w:vMerge w:val="restart"/>
          </w:tcPr>
          <w:p w:rsidR="00001DCC" w:rsidRPr="003E0234" w:rsidRDefault="00001DCC" w:rsidP="00FC42A8">
            <w:pPr>
              <w:spacing w:line="360" w:lineRule="auto"/>
              <w:jc w:val="both"/>
              <w:rPr>
                <w:color w:val="000000" w:themeColor="text1"/>
                <w:lang w:val="en-GB"/>
              </w:rPr>
            </w:pPr>
          </w:p>
          <w:p w:rsidR="00001DCC" w:rsidRPr="003E0234" w:rsidRDefault="00001DCC" w:rsidP="00FC42A8">
            <w:pPr>
              <w:spacing w:line="360" w:lineRule="auto"/>
              <w:jc w:val="both"/>
              <w:rPr>
                <w:color w:val="000000" w:themeColor="text1"/>
                <w:lang w:val="en-GB"/>
              </w:rPr>
            </w:pPr>
          </w:p>
          <w:p w:rsidR="00001DCC" w:rsidRPr="003E0234" w:rsidRDefault="00001DCC" w:rsidP="00FC42A8">
            <w:pPr>
              <w:spacing w:line="360" w:lineRule="auto"/>
              <w:jc w:val="both"/>
              <w:rPr>
                <w:color w:val="000000" w:themeColor="text1"/>
                <w:lang w:val="en-GB"/>
              </w:rPr>
            </w:pPr>
            <w:r w:rsidRPr="003E0234">
              <w:rPr>
                <w:color w:val="000000" w:themeColor="text1"/>
                <w:lang w:val="en-GB"/>
              </w:rPr>
              <w:t>L</w:t>
            </w:r>
            <w:r>
              <w:rPr>
                <w:color w:val="000000" w:themeColor="text1"/>
                <w:lang w:val="en-GB"/>
              </w:rPr>
              <w:t>iBH</w:t>
            </w:r>
            <w:r w:rsidRPr="003E0234">
              <w:rPr>
                <w:color w:val="000000" w:themeColor="text1"/>
                <w:vertAlign w:val="subscript"/>
                <w:lang w:val="en-GB"/>
              </w:rPr>
              <w:t>4</w:t>
            </w:r>
          </w:p>
        </w:tc>
        <w:tc>
          <w:tcPr>
            <w:tcW w:w="2360" w:type="dxa"/>
          </w:tcPr>
          <w:p w:rsidR="00001DCC" w:rsidRPr="003E0234" w:rsidRDefault="00001DCC" w:rsidP="00FC42A8">
            <w:pPr>
              <w:rPr>
                <w:color w:val="000000" w:themeColor="text1"/>
                <w:lang w:val="en-GB"/>
              </w:rPr>
            </w:pPr>
            <w:proofErr w:type="spellStart"/>
            <w:r>
              <w:rPr>
                <w:i/>
                <w:iCs/>
                <w:color w:val="000000" w:themeColor="text1"/>
                <w:lang w:val="nn-NO"/>
              </w:rPr>
              <w:t>Pmna</w:t>
            </w:r>
            <w:proofErr w:type="spellEnd"/>
            <w:r w:rsidRPr="003E0234">
              <w:rPr>
                <w:i/>
                <w:iCs/>
                <w:color w:val="000000" w:themeColor="text1"/>
                <w:lang w:val="nn-NO"/>
              </w:rPr>
              <w:t>(</w:t>
            </w:r>
            <w:r>
              <w:rPr>
                <w:i/>
                <w:iCs/>
                <w:color w:val="000000" w:themeColor="text1"/>
                <w:lang w:val="nn-NO"/>
              </w:rPr>
              <w:t>62</w:t>
            </w:r>
            <w:r w:rsidRPr="003E0234">
              <w:rPr>
                <w:i/>
                <w:iCs/>
                <w:color w:val="000000" w:themeColor="text1"/>
                <w:lang w:val="nn-NO"/>
              </w:rPr>
              <w:t>)</w:t>
            </w:r>
          </w:p>
        </w:tc>
        <w:tc>
          <w:tcPr>
            <w:tcW w:w="2220" w:type="dxa"/>
          </w:tcPr>
          <w:p w:rsidR="00001DCC" w:rsidRPr="000115D1" w:rsidRDefault="00001DCC" w:rsidP="00FC42A8">
            <w:pPr>
              <w:rPr>
                <w:color w:val="000000" w:themeColor="text1"/>
              </w:rPr>
            </w:pPr>
            <w:r w:rsidRPr="000115D1">
              <w:rPr>
                <w:color w:val="000000" w:themeColor="text1"/>
              </w:rPr>
              <w:t xml:space="preserve"> </w:t>
            </w:r>
            <w:r w:rsidRPr="000115D1">
              <w:rPr>
                <w:i/>
                <w:color w:val="000000" w:themeColor="text1"/>
              </w:rPr>
              <w:t xml:space="preserve">a </w:t>
            </w:r>
            <w:r w:rsidRPr="000115D1">
              <w:rPr>
                <w:color w:val="000000" w:themeColor="text1"/>
              </w:rPr>
              <w:t>= 7.1786</w:t>
            </w:r>
            <w:r w:rsidRPr="000115D1">
              <w:rPr>
                <w:color w:val="000000" w:themeColor="text1"/>
                <w:vertAlign w:val="superscript"/>
              </w:rPr>
              <w:t>a</w:t>
            </w:r>
          </w:p>
          <w:p w:rsidR="00001DCC" w:rsidRPr="000115D1" w:rsidRDefault="00001DCC" w:rsidP="00FC42A8">
            <w:pPr>
              <w:rPr>
                <w:color w:val="000000" w:themeColor="text1"/>
              </w:rPr>
            </w:pPr>
            <w:r w:rsidRPr="000115D1">
              <w:rPr>
                <w:i/>
                <w:color w:val="000000" w:themeColor="text1"/>
              </w:rPr>
              <w:t>b</w:t>
            </w:r>
            <w:r w:rsidRPr="000115D1">
              <w:rPr>
                <w:color w:val="000000" w:themeColor="text1"/>
              </w:rPr>
              <w:t xml:space="preserve"> = 4.</w:t>
            </w:r>
            <w:r>
              <w:rPr>
                <w:color w:val="000000" w:themeColor="text1"/>
              </w:rPr>
              <w:t>4369</w:t>
            </w:r>
            <w:r w:rsidRPr="000115D1">
              <w:rPr>
                <w:color w:val="000000" w:themeColor="text1"/>
                <w:vertAlign w:val="superscript"/>
              </w:rPr>
              <w:t xml:space="preserve"> a</w:t>
            </w:r>
          </w:p>
          <w:p w:rsidR="00001DCC" w:rsidRPr="003E0234" w:rsidRDefault="00001DCC" w:rsidP="00FC42A8">
            <w:pPr>
              <w:rPr>
                <w:color w:val="000000" w:themeColor="text1"/>
                <w:lang w:val="en-GB"/>
              </w:rPr>
            </w:pPr>
            <w:r w:rsidRPr="000115D1">
              <w:rPr>
                <w:i/>
                <w:color w:val="000000" w:themeColor="text1"/>
              </w:rPr>
              <w:t>c</w:t>
            </w:r>
            <w:r w:rsidRPr="000115D1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6.8032</w:t>
            </w:r>
            <w:r w:rsidRPr="000115D1">
              <w:rPr>
                <w:color w:val="000000" w:themeColor="text1"/>
                <w:vertAlign w:val="superscript"/>
              </w:rPr>
              <w:t xml:space="preserve"> a</w:t>
            </w:r>
          </w:p>
        </w:tc>
        <w:tc>
          <w:tcPr>
            <w:tcW w:w="2220" w:type="dxa"/>
          </w:tcPr>
          <w:p w:rsidR="00001DCC" w:rsidRPr="000115D1" w:rsidRDefault="00001DCC" w:rsidP="00FC42A8">
            <w:pPr>
              <w:rPr>
                <w:color w:val="000000" w:themeColor="text1"/>
              </w:rPr>
            </w:pPr>
            <w:r w:rsidRPr="000115D1">
              <w:rPr>
                <w:i/>
                <w:color w:val="000000" w:themeColor="text1"/>
              </w:rPr>
              <w:t xml:space="preserve">a </w:t>
            </w:r>
            <w:r w:rsidRPr="000115D1">
              <w:rPr>
                <w:color w:val="000000" w:themeColor="text1"/>
              </w:rPr>
              <w:t xml:space="preserve">= </w:t>
            </w:r>
            <w:r>
              <w:rPr>
                <w:color w:val="000000" w:themeColor="text1"/>
              </w:rPr>
              <w:t>7.3635</w:t>
            </w:r>
          </w:p>
          <w:p w:rsidR="00001DCC" w:rsidRPr="000115D1" w:rsidRDefault="00001DCC" w:rsidP="00FC42A8">
            <w:pPr>
              <w:rPr>
                <w:color w:val="000000" w:themeColor="text1"/>
              </w:rPr>
            </w:pPr>
            <w:r w:rsidRPr="000115D1">
              <w:rPr>
                <w:i/>
                <w:color w:val="000000" w:themeColor="text1"/>
              </w:rPr>
              <w:t>b</w:t>
            </w:r>
            <w:r w:rsidRPr="000115D1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4.3982</w:t>
            </w:r>
          </w:p>
          <w:p w:rsidR="00001DCC" w:rsidRPr="003E0234" w:rsidRDefault="00001DCC" w:rsidP="00FC42A8">
            <w:pPr>
              <w:rPr>
                <w:color w:val="000000" w:themeColor="text1"/>
                <w:lang w:val="en-GB"/>
              </w:rPr>
            </w:pPr>
            <w:r w:rsidRPr="000115D1">
              <w:rPr>
                <w:i/>
                <w:color w:val="000000" w:themeColor="text1"/>
              </w:rPr>
              <w:t>c</w:t>
            </w:r>
            <w:r w:rsidRPr="000115D1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6.5965</w:t>
            </w:r>
          </w:p>
        </w:tc>
      </w:tr>
      <w:tr w:rsidR="00001DCC" w:rsidRPr="000115D1" w:rsidTr="00FC42A8">
        <w:trPr>
          <w:trHeight w:val="1243"/>
        </w:trPr>
        <w:tc>
          <w:tcPr>
            <w:tcW w:w="2488" w:type="dxa"/>
            <w:vMerge/>
          </w:tcPr>
          <w:p w:rsidR="00001DCC" w:rsidRPr="003E0234" w:rsidRDefault="00001DCC" w:rsidP="00FC42A8">
            <w:pPr>
              <w:spacing w:line="360" w:lineRule="auto"/>
              <w:jc w:val="both"/>
              <w:rPr>
                <w:color w:val="000000" w:themeColor="text1"/>
                <w:lang w:val="en-GB"/>
              </w:rPr>
            </w:pPr>
          </w:p>
        </w:tc>
        <w:tc>
          <w:tcPr>
            <w:tcW w:w="2360" w:type="dxa"/>
          </w:tcPr>
          <w:p w:rsidR="00001DCC" w:rsidRPr="003E0234" w:rsidRDefault="00001DCC" w:rsidP="00FC42A8">
            <w:pPr>
              <w:rPr>
                <w:color w:val="000000" w:themeColor="text1"/>
                <w:lang w:val="en-GB"/>
              </w:rPr>
            </w:pPr>
            <w:r w:rsidRPr="000115D1">
              <w:rPr>
                <w:i/>
                <w:iCs/>
                <w:color w:val="000000" w:themeColor="text1"/>
              </w:rPr>
              <w:t>P6</w:t>
            </w:r>
            <w:r>
              <w:rPr>
                <w:i/>
                <w:iCs/>
                <w:color w:val="000000" w:themeColor="text1"/>
                <w:vertAlign w:val="subscript"/>
              </w:rPr>
              <w:t>3</w:t>
            </w:r>
            <w:r w:rsidRPr="000115D1">
              <w:rPr>
                <w:i/>
                <w:iCs/>
                <w:color w:val="000000" w:themeColor="text1"/>
              </w:rPr>
              <w:t>mc(</w:t>
            </w:r>
            <w:r>
              <w:rPr>
                <w:i/>
                <w:iCs/>
                <w:color w:val="000000" w:themeColor="text1"/>
              </w:rPr>
              <w:t>186</w:t>
            </w:r>
            <w:r w:rsidRPr="000115D1"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2220" w:type="dxa"/>
          </w:tcPr>
          <w:p w:rsidR="00001DCC" w:rsidRPr="000115D1" w:rsidRDefault="00001DCC" w:rsidP="00FC42A8">
            <w:pPr>
              <w:rPr>
                <w:color w:val="000000" w:themeColor="text1"/>
              </w:rPr>
            </w:pPr>
            <w:r w:rsidRPr="000115D1">
              <w:rPr>
                <w:i/>
                <w:color w:val="000000" w:themeColor="text1"/>
              </w:rPr>
              <w:t xml:space="preserve">a </w:t>
            </w:r>
            <w:r w:rsidRPr="000115D1">
              <w:rPr>
                <w:color w:val="000000" w:themeColor="text1"/>
              </w:rPr>
              <w:t xml:space="preserve">= </w:t>
            </w:r>
            <w:r>
              <w:rPr>
                <w:color w:val="000000" w:themeColor="text1"/>
              </w:rPr>
              <w:t>4.2763</w:t>
            </w:r>
            <w:r w:rsidRPr="000115D1">
              <w:rPr>
                <w:color w:val="000000" w:themeColor="text1"/>
                <w:vertAlign w:val="superscript"/>
              </w:rPr>
              <w:t xml:space="preserve"> </w:t>
            </w:r>
            <w:r>
              <w:rPr>
                <w:color w:val="000000" w:themeColor="text1"/>
                <w:vertAlign w:val="superscript"/>
              </w:rPr>
              <w:t>a</w:t>
            </w:r>
          </w:p>
          <w:p w:rsidR="00001DCC" w:rsidRPr="003E0234" w:rsidRDefault="00001DCC" w:rsidP="00FC42A8">
            <w:pPr>
              <w:rPr>
                <w:color w:val="000000" w:themeColor="text1"/>
                <w:lang w:val="en-GB"/>
              </w:rPr>
            </w:pPr>
            <w:r w:rsidRPr="000115D1">
              <w:rPr>
                <w:i/>
                <w:color w:val="000000" w:themeColor="text1"/>
              </w:rPr>
              <w:t>c</w:t>
            </w:r>
            <w:r w:rsidRPr="000115D1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6.9484</w:t>
            </w:r>
            <w:r w:rsidRPr="000115D1">
              <w:rPr>
                <w:color w:val="000000" w:themeColor="text1"/>
                <w:vertAlign w:val="superscript"/>
              </w:rPr>
              <w:t xml:space="preserve"> </w:t>
            </w:r>
            <w:r>
              <w:rPr>
                <w:color w:val="000000" w:themeColor="text1"/>
                <w:vertAlign w:val="superscript"/>
              </w:rPr>
              <w:t>a</w:t>
            </w:r>
          </w:p>
        </w:tc>
        <w:tc>
          <w:tcPr>
            <w:tcW w:w="2220" w:type="dxa"/>
          </w:tcPr>
          <w:p w:rsidR="00001DCC" w:rsidRPr="003E0234" w:rsidRDefault="00001DCC" w:rsidP="00FC42A8">
            <w:pPr>
              <w:rPr>
                <w:color w:val="000000" w:themeColor="text1"/>
                <w:lang w:val="en-GB"/>
              </w:rPr>
            </w:pPr>
            <w:r w:rsidRPr="000115D1">
              <w:rPr>
                <w:i/>
                <w:color w:val="000000" w:themeColor="text1"/>
              </w:rPr>
              <w:t xml:space="preserve">a </w:t>
            </w:r>
            <w:r w:rsidRPr="000115D1">
              <w:rPr>
                <w:color w:val="000000" w:themeColor="text1"/>
              </w:rPr>
              <w:t xml:space="preserve">= </w:t>
            </w:r>
            <w:r>
              <w:rPr>
                <w:color w:val="000000" w:themeColor="text1"/>
                <w:lang w:val="en-GB"/>
              </w:rPr>
              <w:t>4.1956</w:t>
            </w:r>
          </w:p>
          <w:p w:rsidR="00001DCC" w:rsidRPr="003E0234" w:rsidRDefault="00001DCC" w:rsidP="00FC42A8">
            <w:pPr>
              <w:rPr>
                <w:color w:val="000000" w:themeColor="text1"/>
                <w:lang w:val="en-GB"/>
              </w:rPr>
            </w:pPr>
            <w:r w:rsidRPr="000115D1">
              <w:rPr>
                <w:i/>
                <w:color w:val="000000" w:themeColor="text1"/>
              </w:rPr>
              <w:t>c</w:t>
            </w:r>
            <w:r w:rsidRPr="000115D1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  <w:lang w:val="en-GB"/>
              </w:rPr>
              <w:t>6.8013</w:t>
            </w:r>
          </w:p>
        </w:tc>
      </w:tr>
    </w:tbl>
    <w:p w:rsidR="00001DCC" w:rsidRPr="00376203" w:rsidRDefault="00001DCC" w:rsidP="00001DCC">
      <w:pPr>
        <w:pStyle w:val="EndNoteBibliography"/>
      </w:pPr>
      <w:r w:rsidRPr="003E0234">
        <w:rPr>
          <w:color w:val="000000" w:themeColor="text1"/>
          <w:vertAlign w:val="superscript"/>
          <w:lang w:val="en-GB"/>
        </w:rPr>
        <w:t>a</w:t>
      </w:r>
      <w:r w:rsidRPr="003E0234">
        <w:rPr>
          <w:color w:val="000000" w:themeColor="text1"/>
          <w:lang w:val="en-GB"/>
        </w:rPr>
        <w:t>From ref</w:t>
      </w:r>
      <w:r>
        <w:rPr>
          <w:color w:val="000000" w:themeColor="text1"/>
          <w:lang w:val="en-GB"/>
        </w:rPr>
        <w:t>. (S</w:t>
      </w:r>
      <w:r w:rsidRPr="00376203">
        <w:t xml:space="preserve">oulié, J. P.; Renaudin, G.; Černý, R.; Yvon, K., </w:t>
      </w:r>
      <w:r w:rsidRPr="00376203">
        <w:rPr>
          <w:i/>
        </w:rPr>
        <w:t xml:space="preserve">J. Alloys Compd. </w:t>
      </w:r>
      <w:r w:rsidRPr="00376203">
        <w:rPr>
          <w:b/>
        </w:rPr>
        <w:t>2002,</w:t>
      </w:r>
      <w:r w:rsidRPr="00376203">
        <w:t xml:space="preserve"> </w:t>
      </w:r>
      <w:r w:rsidRPr="00376203">
        <w:rPr>
          <w:i/>
        </w:rPr>
        <w:t>346</w:t>
      </w:r>
      <w:r w:rsidRPr="00376203">
        <w:t>, 200.</w:t>
      </w:r>
      <w:r>
        <w:t>)</w:t>
      </w:r>
    </w:p>
    <w:p w:rsidR="00001DCC" w:rsidRPr="00376203" w:rsidRDefault="00001DCC" w:rsidP="00001DCC">
      <w:pPr>
        <w:rPr>
          <w:lang w:val="en-GB"/>
        </w:rPr>
      </w:pPr>
    </w:p>
    <w:p w:rsidR="00001DCC" w:rsidRPr="00673017" w:rsidRDefault="00001DCC" w:rsidP="00001DCC">
      <w:pPr>
        <w:pStyle w:val="Bildetekst"/>
        <w:spacing w:line="360" w:lineRule="auto"/>
        <w:rPr>
          <w:b w:val="0"/>
          <w:color w:val="231F20"/>
          <w:sz w:val="24"/>
          <w:szCs w:val="24"/>
          <w:lang w:val="en-US"/>
        </w:rPr>
      </w:pPr>
      <w:r w:rsidRPr="003E0234">
        <w:rPr>
          <w:color w:val="000000" w:themeColor="text1"/>
          <w:sz w:val="24"/>
          <w:szCs w:val="24"/>
          <w:lang w:val="en-GB"/>
        </w:rPr>
        <w:t xml:space="preserve">Table ST </w:t>
      </w:r>
      <w:r w:rsidR="0005393D" w:rsidRPr="0005393D">
        <w:rPr>
          <w:color w:val="000000" w:themeColor="text1"/>
          <w:sz w:val="24"/>
          <w:szCs w:val="24"/>
          <w:lang w:val="en-US"/>
        </w:rPr>
        <w:t>2</w:t>
      </w:r>
      <w:r w:rsidR="00314041">
        <w:rPr>
          <w:color w:val="000000" w:themeColor="text1"/>
          <w:sz w:val="24"/>
          <w:szCs w:val="24"/>
          <w:lang w:val="en-US"/>
        </w:rPr>
        <w:t>.</w:t>
      </w:r>
      <w:r w:rsidRPr="003E0234">
        <w:rPr>
          <w:color w:val="000000" w:themeColor="text1"/>
          <w:sz w:val="24"/>
          <w:szCs w:val="24"/>
          <w:lang w:val="en-GB"/>
        </w:rPr>
        <w:t xml:space="preserve"> </w:t>
      </w:r>
      <w:r w:rsidRPr="003E02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r w:rsidRPr="0081030D">
        <w:rPr>
          <w:b w:val="0"/>
          <w:color w:val="000000" w:themeColor="text1"/>
          <w:sz w:val="24"/>
          <w:szCs w:val="24"/>
          <w:lang w:val="en-GB"/>
        </w:rPr>
        <w:t>Ca</w:t>
      </w:r>
      <w:r>
        <w:rPr>
          <w:b w:val="0"/>
          <w:color w:val="000000" w:themeColor="text1"/>
          <w:sz w:val="24"/>
          <w:szCs w:val="24"/>
          <w:lang w:val="en-GB"/>
        </w:rPr>
        <w:t>lculated barrier height (in eV)</w:t>
      </w:r>
      <w:r w:rsidRPr="0081030D">
        <w:rPr>
          <w:b w:val="0"/>
          <w:color w:val="000000" w:themeColor="text1"/>
          <w:sz w:val="24"/>
          <w:szCs w:val="24"/>
          <w:lang w:val="en-GB"/>
        </w:rPr>
        <w:t xml:space="preserve"> for </w:t>
      </w:r>
      <w:r>
        <w:rPr>
          <w:b w:val="0"/>
          <w:color w:val="000000" w:themeColor="text1"/>
          <w:sz w:val="24"/>
          <w:szCs w:val="24"/>
          <w:lang w:val="en-GB"/>
        </w:rPr>
        <w:t xml:space="preserve">with and without different molecular species in </w:t>
      </w:r>
      <w:r w:rsidRPr="004B7B10">
        <w:rPr>
          <w:b w:val="0"/>
          <w:color w:val="000000" w:themeColor="text1"/>
          <w:sz w:val="24"/>
          <w:szCs w:val="24"/>
          <w:lang w:val="en-GB"/>
        </w:rPr>
        <w:t>LiBH</w:t>
      </w:r>
      <w:r w:rsidRPr="004B7B10">
        <w:rPr>
          <w:b w:val="0"/>
          <w:color w:val="000000" w:themeColor="text1"/>
          <w:sz w:val="24"/>
          <w:szCs w:val="24"/>
          <w:vertAlign w:val="subscript"/>
          <w:lang w:val="en-GB"/>
        </w:rPr>
        <w:t>4</w:t>
      </w:r>
      <w:r w:rsidRPr="0081030D">
        <w:rPr>
          <w:b w:val="0"/>
          <w:color w:val="000000" w:themeColor="text1"/>
          <w:sz w:val="24"/>
          <w:szCs w:val="24"/>
          <w:lang w:val="en-GB"/>
        </w:rPr>
        <w:t xml:space="preserve"> phases.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70"/>
        <w:gridCol w:w="2567"/>
      </w:tblGrid>
      <w:tr w:rsidR="00001DCC" w:rsidRPr="004B7B10" w:rsidTr="00FC42A8">
        <w:tc>
          <w:tcPr>
            <w:tcW w:w="3070" w:type="dxa"/>
          </w:tcPr>
          <w:p w:rsidR="00001DCC" w:rsidRPr="004B7B10" w:rsidRDefault="00001DCC" w:rsidP="00FC42A8">
            <w:pPr>
              <w:pStyle w:val="Bildetekst"/>
              <w:jc w:val="both"/>
              <w:rPr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4B7B10">
              <w:rPr>
                <w:b w:val="0"/>
                <w:color w:val="000000" w:themeColor="text1"/>
                <w:sz w:val="24"/>
                <w:szCs w:val="24"/>
                <w:lang w:val="en-GB"/>
              </w:rPr>
              <w:t>Phase</w:t>
            </w:r>
          </w:p>
        </w:tc>
        <w:tc>
          <w:tcPr>
            <w:tcW w:w="2567" w:type="dxa"/>
          </w:tcPr>
          <w:p w:rsidR="00001DCC" w:rsidRPr="004B7B10" w:rsidRDefault="00001DCC" w:rsidP="00FC42A8">
            <w:pPr>
              <w:pStyle w:val="Bildetekst"/>
              <w:jc w:val="both"/>
              <w:rPr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4B7B10">
              <w:rPr>
                <w:b w:val="0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:rsidR="00001DCC" w:rsidRPr="004B7B10" w:rsidRDefault="00001DCC" w:rsidP="00FC42A8">
            <w:pPr>
              <w:pStyle w:val="Bildetekst"/>
              <w:jc w:val="both"/>
              <w:rPr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4B7B10">
              <w:rPr>
                <w:b w:val="0"/>
                <w:color w:val="000000" w:themeColor="text1"/>
                <w:sz w:val="24"/>
                <w:szCs w:val="24"/>
                <w:lang w:val="en-GB"/>
              </w:rPr>
              <w:t>Barrier height (eV)</w:t>
            </w:r>
          </w:p>
        </w:tc>
      </w:tr>
      <w:tr w:rsidR="00001DCC" w:rsidRPr="004B7B10" w:rsidTr="00FC42A8">
        <w:tc>
          <w:tcPr>
            <w:tcW w:w="3070" w:type="dxa"/>
          </w:tcPr>
          <w:p w:rsidR="00001DCC" w:rsidRPr="004B7B10" w:rsidRDefault="00001DCC" w:rsidP="00FC42A8">
            <w:pPr>
              <w:pStyle w:val="Bildetekst"/>
              <w:jc w:val="both"/>
              <w:rPr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4B7B10">
              <w:rPr>
                <w:b w:val="0"/>
                <w:color w:val="000000" w:themeColor="text1"/>
                <w:sz w:val="24"/>
                <w:szCs w:val="24"/>
                <w:lang w:val="en-GB"/>
              </w:rPr>
              <w:t>LT-LiBH</w:t>
            </w:r>
            <w:r w:rsidRPr="004B7B10">
              <w:rPr>
                <w:b w:val="0"/>
                <w:color w:val="000000" w:themeColor="text1"/>
                <w:sz w:val="24"/>
                <w:szCs w:val="24"/>
                <w:vertAlign w:val="subscript"/>
                <w:lang w:val="en-GB"/>
              </w:rPr>
              <w:t>4</w:t>
            </w:r>
          </w:p>
        </w:tc>
        <w:tc>
          <w:tcPr>
            <w:tcW w:w="2567" w:type="dxa"/>
          </w:tcPr>
          <w:p w:rsidR="00001DCC" w:rsidRPr="004B7B10" w:rsidRDefault="00001DCC" w:rsidP="00FC42A8">
            <w:pPr>
              <w:pStyle w:val="Bildetekst"/>
              <w:jc w:val="both"/>
              <w:rPr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4B7B10">
              <w:rPr>
                <w:b w:val="0"/>
                <w:color w:val="000000" w:themeColor="text1"/>
                <w:sz w:val="24"/>
                <w:szCs w:val="24"/>
                <w:lang w:val="en-GB"/>
              </w:rPr>
              <w:t>0.69</w:t>
            </w:r>
          </w:p>
        </w:tc>
      </w:tr>
      <w:tr w:rsidR="00001DCC" w:rsidRPr="004B7B10" w:rsidTr="00FC42A8">
        <w:tc>
          <w:tcPr>
            <w:tcW w:w="3070" w:type="dxa"/>
          </w:tcPr>
          <w:p w:rsidR="00001DCC" w:rsidRPr="004B7B10" w:rsidRDefault="00001DCC" w:rsidP="00FC42A8">
            <w:pPr>
              <w:pStyle w:val="Bildetekst"/>
              <w:jc w:val="both"/>
              <w:rPr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4B7B10">
              <w:rPr>
                <w:b w:val="0"/>
                <w:color w:val="000000" w:themeColor="text1"/>
                <w:sz w:val="24"/>
                <w:szCs w:val="24"/>
                <w:lang w:val="en-GB"/>
              </w:rPr>
              <w:t>HT-LiBH</w:t>
            </w:r>
            <w:r w:rsidRPr="004B7B10">
              <w:rPr>
                <w:b w:val="0"/>
                <w:color w:val="000000" w:themeColor="text1"/>
                <w:sz w:val="24"/>
                <w:szCs w:val="24"/>
                <w:vertAlign w:val="subscript"/>
                <w:lang w:val="en-GB"/>
              </w:rPr>
              <w:t>4</w:t>
            </w:r>
          </w:p>
        </w:tc>
        <w:tc>
          <w:tcPr>
            <w:tcW w:w="2567" w:type="dxa"/>
          </w:tcPr>
          <w:p w:rsidR="00001DCC" w:rsidRPr="004B7B10" w:rsidRDefault="00001DCC" w:rsidP="00FC42A8">
            <w:pPr>
              <w:pStyle w:val="Bildetekst"/>
              <w:jc w:val="both"/>
              <w:rPr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4B7B10">
              <w:rPr>
                <w:b w:val="0"/>
                <w:color w:val="000000" w:themeColor="text1"/>
                <w:sz w:val="24"/>
                <w:szCs w:val="24"/>
                <w:lang w:val="en-GB"/>
              </w:rPr>
              <w:t>0.53</w:t>
            </w:r>
          </w:p>
        </w:tc>
      </w:tr>
      <w:tr w:rsidR="00001DCC" w:rsidRPr="004B7B10" w:rsidTr="00FC42A8">
        <w:tc>
          <w:tcPr>
            <w:tcW w:w="3070" w:type="dxa"/>
          </w:tcPr>
          <w:p w:rsidR="00001DCC" w:rsidRPr="004B7B10" w:rsidRDefault="00001DCC" w:rsidP="00FC42A8">
            <w:pPr>
              <w:pStyle w:val="Bildetekst"/>
              <w:jc w:val="both"/>
              <w:rPr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4B7B10">
              <w:rPr>
                <w:b w:val="0"/>
                <w:color w:val="000000" w:themeColor="text1"/>
                <w:sz w:val="24"/>
                <w:szCs w:val="24"/>
                <w:lang w:val="en-GB"/>
              </w:rPr>
              <w:t>HT-LiBH</w:t>
            </w:r>
            <w:r w:rsidRPr="004B7B10">
              <w:rPr>
                <w:b w:val="0"/>
                <w:color w:val="000000" w:themeColor="text1"/>
                <w:sz w:val="24"/>
                <w:szCs w:val="24"/>
                <w:vertAlign w:val="subscript"/>
                <w:lang w:val="en-GB"/>
              </w:rPr>
              <w:t>4</w:t>
            </w:r>
            <w:r w:rsidRPr="004B7B10">
              <w:rPr>
                <w:b w:val="0"/>
                <w:color w:val="000000" w:themeColor="text1"/>
                <w:sz w:val="24"/>
                <w:szCs w:val="24"/>
                <w:lang w:val="en-GB"/>
              </w:rPr>
              <w:t>+LiI</w:t>
            </w:r>
          </w:p>
        </w:tc>
        <w:tc>
          <w:tcPr>
            <w:tcW w:w="2567" w:type="dxa"/>
          </w:tcPr>
          <w:p w:rsidR="00001DCC" w:rsidRPr="004B7B10" w:rsidRDefault="00001DCC" w:rsidP="00FC42A8">
            <w:pPr>
              <w:pStyle w:val="Bildetekst"/>
              <w:jc w:val="both"/>
              <w:rPr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4B7B10">
              <w:rPr>
                <w:b w:val="0"/>
                <w:color w:val="000000" w:themeColor="text1"/>
                <w:sz w:val="24"/>
                <w:szCs w:val="24"/>
                <w:lang w:val="en-GB"/>
              </w:rPr>
              <w:t>0.42-0.54</w:t>
            </w:r>
          </w:p>
        </w:tc>
      </w:tr>
      <w:tr w:rsidR="00001DCC" w:rsidRPr="004B7B10" w:rsidTr="00FC42A8">
        <w:tc>
          <w:tcPr>
            <w:tcW w:w="3070" w:type="dxa"/>
          </w:tcPr>
          <w:p w:rsidR="00001DCC" w:rsidRPr="004B7B10" w:rsidRDefault="00001DCC" w:rsidP="00FC42A8">
            <w:pPr>
              <w:pStyle w:val="Bildetekst"/>
              <w:jc w:val="both"/>
              <w:rPr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4B7B10">
              <w:rPr>
                <w:b w:val="0"/>
                <w:color w:val="000000" w:themeColor="text1"/>
                <w:sz w:val="24"/>
                <w:szCs w:val="24"/>
                <w:lang w:val="en-GB"/>
              </w:rPr>
              <w:t>HT-LiBH</w:t>
            </w:r>
            <w:r w:rsidRPr="004B7B10">
              <w:rPr>
                <w:b w:val="0"/>
                <w:color w:val="000000" w:themeColor="text1"/>
                <w:sz w:val="24"/>
                <w:szCs w:val="24"/>
                <w:vertAlign w:val="subscript"/>
                <w:lang w:val="en-GB"/>
              </w:rPr>
              <w:t>4</w:t>
            </w:r>
            <w:r w:rsidRPr="004B7B10">
              <w:rPr>
                <w:b w:val="0"/>
                <w:color w:val="000000" w:themeColor="text1"/>
                <w:sz w:val="24"/>
                <w:szCs w:val="24"/>
                <w:lang w:val="en-GB"/>
              </w:rPr>
              <w:t>+LiI+Li</w:t>
            </w:r>
            <w:r w:rsidRPr="004B7B10">
              <w:rPr>
                <w:b w:val="0"/>
                <w:color w:val="000000" w:themeColor="text1"/>
                <w:sz w:val="24"/>
                <w:szCs w:val="24"/>
                <w:vertAlign w:val="subscript"/>
                <w:lang w:val="en-GB"/>
              </w:rPr>
              <w:t>2</w:t>
            </w:r>
            <w:r w:rsidRPr="004B7B10">
              <w:rPr>
                <w:b w:val="0"/>
                <w:color w:val="000000" w:themeColor="text1"/>
                <w:sz w:val="24"/>
                <w:szCs w:val="24"/>
                <w:lang w:val="en-GB"/>
              </w:rPr>
              <w:t>S</w:t>
            </w:r>
          </w:p>
        </w:tc>
        <w:tc>
          <w:tcPr>
            <w:tcW w:w="2567" w:type="dxa"/>
          </w:tcPr>
          <w:p w:rsidR="00001DCC" w:rsidRPr="004B7B10" w:rsidRDefault="00001DCC" w:rsidP="00FC42A8">
            <w:pPr>
              <w:pStyle w:val="Bildetekst"/>
              <w:jc w:val="both"/>
              <w:rPr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4B7B10">
              <w:rPr>
                <w:b w:val="0"/>
                <w:color w:val="000000" w:themeColor="text1"/>
                <w:sz w:val="24"/>
                <w:szCs w:val="24"/>
                <w:lang w:val="en-GB"/>
              </w:rPr>
              <w:t>0.19-0.63</w:t>
            </w:r>
          </w:p>
        </w:tc>
      </w:tr>
    </w:tbl>
    <w:p w:rsidR="002E7A62" w:rsidRPr="002E7A62" w:rsidRDefault="002E7A62">
      <w:pPr>
        <w:rPr>
          <w:rFonts w:ascii="Times New Roman" w:hAnsi="Times New Roman" w:cs="Times New Roman"/>
        </w:rPr>
      </w:pPr>
    </w:p>
    <w:sectPr w:rsidR="002E7A62" w:rsidRPr="002E7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62"/>
    <w:rsid w:val="00001DCC"/>
    <w:rsid w:val="000261DC"/>
    <w:rsid w:val="0005393D"/>
    <w:rsid w:val="00182E38"/>
    <w:rsid w:val="002E7A62"/>
    <w:rsid w:val="00314041"/>
    <w:rsid w:val="00383ED6"/>
    <w:rsid w:val="005B6BAF"/>
    <w:rsid w:val="00841E46"/>
    <w:rsid w:val="008F6F6D"/>
    <w:rsid w:val="009868F9"/>
    <w:rsid w:val="00FA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E7A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2E7A62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001DCC"/>
    <w:pPr>
      <w:spacing w:line="240" w:lineRule="auto"/>
    </w:pPr>
    <w:rPr>
      <w:rFonts w:ascii="Calibri" w:hAnsi="Calibri"/>
      <w:noProof/>
      <w:lang w:eastAsia="en-US"/>
    </w:rPr>
  </w:style>
  <w:style w:type="character" w:customStyle="1" w:styleId="EndNoteBibliographyChar">
    <w:name w:val="EndNote Bibliography Char"/>
    <w:basedOn w:val="Standardskriftforavsnitt"/>
    <w:link w:val="EndNoteBibliography"/>
    <w:rsid w:val="00001DCC"/>
    <w:rPr>
      <w:rFonts w:ascii="Calibri" w:hAnsi="Calibri"/>
      <w:noProof/>
      <w:lang w:eastAsia="en-US"/>
    </w:rPr>
  </w:style>
  <w:style w:type="table" w:styleId="Tabellrutenett">
    <w:name w:val="Table Grid"/>
    <w:basedOn w:val="Vanligtabell"/>
    <w:uiPriority w:val="59"/>
    <w:rsid w:val="00001DCC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ldetekst">
    <w:name w:val="caption"/>
    <w:basedOn w:val="Normal"/>
    <w:next w:val="Normal"/>
    <w:unhideWhenUsed/>
    <w:qFormat/>
    <w:rsid w:val="00001DCC"/>
    <w:pPr>
      <w:spacing w:line="240" w:lineRule="auto"/>
    </w:pPr>
    <w:rPr>
      <w:rFonts w:ascii="Times New Roman" w:eastAsia="PMingLiU" w:hAnsi="Times New Roman" w:cs="Times New Roman"/>
      <w:b/>
      <w:bCs/>
      <w:color w:val="4F81BD" w:themeColor="accent1"/>
      <w:sz w:val="18"/>
      <w:szCs w:val="18"/>
      <w:lang w:val="nb-NO"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868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868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E7A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2E7A62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001DCC"/>
    <w:pPr>
      <w:spacing w:line="240" w:lineRule="auto"/>
    </w:pPr>
    <w:rPr>
      <w:rFonts w:ascii="Calibri" w:hAnsi="Calibri"/>
      <w:noProof/>
      <w:lang w:eastAsia="en-US"/>
    </w:rPr>
  </w:style>
  <w:style w:type="character" w:customStyle="1" w:styleId="EndNoteBibliographyChar">
    <w:name w:val="EndNote Bibliography Char"/>
    <w:basedOn w:val="Standardskriftforavsnitt"/>
    <w:link w:val="EndNoteBibliography"/>
    <w:rsid w:val="00001DCC"/>
    <w:rPr>
      <w:rFonts w:ascii="Calibri" w:hAnsi="Calibri"/>
      <w:noProof/>
      <w:lang w:eastAsia="en-US"/>
    </w:rPr>
  </w:style>
  <w:style w:type="table" w:styleId="Tabellrutenett">
    <w:name w:val="Table Grid"/>
    <w:basedOn w:val="Vanligtabell"/>
    <w:uiPriority w:val="59"/>
    <w:rsid w:val="00001DCC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ldetekst">
    <w:name w:val="caption"/>
    <w:basedOn w:val="Normal"/>
    <w:next w:val="Normal"/>
    <w:unhideWhenUsed/>
    <w:qFormat/>
    <w:rsid w:val="00001DCC"/>
    <w:pPr>
      <w:spacing w:line="240" w:lineRule="auto"/>
    </w:pPr>
    <w:rPr>
      <w:rFonts w:ascii="Times New Roman" w:eastAsia="PMingLiU" w:hAnsi="Times New Roman" w:cs="Times New Roman"/>
      <w:b/>
      <w:bCs/>
      <w:color w:val="4F81BD" w:themeColor="accent1"/>
      <w:sz w:val="18"/>
      <w:szCs w:val="18"/>
      <w:lang w:val="nb-NO"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868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868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2A28B-C978-2247-A920-F272736D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1490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Institutt for Energiteknikk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 El-Kharbachi</dc:creator>
  <cp:lastModifiedBy>Svein Torp</cp:lastModifiedBy>
  <cp:revision>2</cp:revision>
  <dcterms:created xsi:type="dcterms:W3CDTF">2019-01-21T08:23:00Z</dcterms:created>
  <dcterms:modified xsi:type="dcterms:W3CDTF">2019-01-21T08:23:00Z</dcterms:modified>
</cp:coreProperties>
</file>