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7687" w14:textId="77777777" w:rsidR="005868DD" w:rsidRPr="00AB7688" w:rsidRDefault="00000000">
      <w:pPr>
        <w:spacing w:after="40"/>
        <w:jc w:val="center"/>
        <w:rPr>
          <w:sz w:val="20"/>
          <w:szCs w:val="20"/>
          <w:u w:val="single"/>
        </w:rPr>
      </w:pPr>
      <w:r w:rsidRPr="00AB7688">
        <w:rPr>
          <w:rFonts w:ascii="Arial" w:hAnsi="Arial"/>
          <w:b/>
          <w:color w:val="1B365D"/>
          <w:sz w:val="40"/>
          <w:szCs w:val="20"/>
          <w:u w:val="single"/>
        </w:rPr>
        <w:t>RetailPulse AI Sales Intelligence Platform</w:t>
      </w:r>
    </w:p>
    <w:p w14:paraId="52A60482" w14:textId="031B2F6D" w:rsidR="005868DD" w:rsidRDefault="00000000" w:rsidP="00AB7688">
      <w:pPr>
        <w:spacing w:after="360"/>
        <w:jc w:val="center"/>
      </w:pPr>
      <w:r>
        <w:rPr>
          <w:rFonts w:ascii="Arial" w:hAnsi="Arial"/>
          <w:color w:val="4A777A"/>
          <w:sz w:val="26"/>
        </w:rPr>
        <w:t>Comprehensive Internship Project Report &amp; Documentation</w:t>
      </w:r>
    </w:p>
    <w:p w14:paraId="4607C565" w14:textId="77777777" w:rsidR="005868DD" w:rsidRDefault="00000000" w:rsidP="00AB7688">
      <w:pPr>
        <w:keepNext/>
        <w:spacing w:before="240" w:after="80"/>
        <w:jc w:val="both"/>
      </w:pPr>
      <w:r>
        <w:rPr>
          <w:rFonts w:ascii="Arial" w:hAnsi="Arial"/>
          <w:b/>
          <w:color w:val="1B365D"/>
          <w:sz w:val="32"/>
        </w:rPr>
        <w:t>1. Executive Summary</w:t>
      </w:r>
    </w:p>
    <w:p w14:paraId="332C8930" w14:textId="77777777" w:rsidR="005868DD" w:rsidRDefault="00000000" w:rsidP="00AB7688">
      <w:pPr>
        <w:spacing w:after="120"/>
        <w:jc w:val="both"/>
      </w:pPr>
      <w:r>
        <w:rPr>
          <w:rFonts w:ascii="Arial" w:hAnsi="Arial"/>
          <w:b/>
          <w:color w:val="333333"/>
        </w:rPr>
        <w:t xml:space="preserve">Overview: </w:t>
      </w:r>
      <w:r>
        <w:rPr>
          <w:rFonts w:ascii="Arial" w:hAnsi="Arial"/>
          <w:color w:val="333333"/>
        </w:rPr>
        <w:t>RetailPulse AI is a comprehensive, production-grade retail analytics platform engineered to empower businesses with actionable sales insights, demand forecasts, customer segmentation, churn prediction, and inventory health optimization. Built using Python, Pandas, Plotly, and Streamlit, the platform processes millions of historical transactional data points to deliver a multi-page interactive web application.</w:t>
      </w:r>
    </w:p>
    <w:p w14:paraId="4E97B394" w14:textId="77777777" w:rsidR="005868DD" w:rsidRDefault="00000000" w:rsidP="00AB7688">
      <w:pPr>
        <w:keepNext/>
        <w:spacing w:before="240" w:after="80"/>
        <w:jc w:val="both"/>
      </w:pPr>
      <w:r>
        <w:rPr>
          <w:rFonts w:ascii="Arial" w:hAnsi="Arial"/>
          <w:b/>
          <w:color w:val="1B365D"/>
          <w:sz w:val="32"/>
        </w:rPr>
        <w:t>2. Project Objectives</w:t>
      </w:r>
    </w:p>
    <w:p w14:paraId="2CD11700" w14:textId="7C948EDA" w:rsidR="005868DD" w:rsidRDefault="00000000" w:rsidP="00AB7688">
      <w:pPr>
        <w:pStyle w:val="ListParagraph"/>
        <w:numPr>
          <w:ilvl w:val="0"/>
          <w:numId w:val="12"/>
        </w:numPr>
        <w:spacing w:after="120"/>
        <w:jc w:val="both"/>
      </w:pPr>
      <w:r w:rsidRPr="00AB7688">
        <w:rPr>
          <w:rFonts w:ascii="Arial" w:hAnsi="Arial"/>
          <w:b/>
          <w:color w:val="333333"/>
        </w:rPr>
        <w:t xml:space="preserve">Demand Forecasting: </w:t>
      </w:r>
      <w:r w:rsidRPr="00AB7688">
        <w:rPr>
          <w:rFonts w:ascii="Arial" w:hAnsi="Arial"/>
          <w:color w:val="333333"/>
        </w:rPr>
        <w:t>Predicting future sales volumes using time-series modeling to ensure optimized supply chain planning.</w:t>
      </w:r>
    </w:p>
    <w:p w14:paraId="6C6C137E" w14:textId="7C26A4F3" w:rsidR="005868DD" w:rsidRDefault="00000000" w:rsidP="00AB7688">
      <w:pPr>
        <w:pStyle w:val="ListParagraph"/>
        <w:numPr>
          <w:ilvl w:val="0"/>
          <w:numId w:val="12"/>
        </w:numPr>
        <w:spacing w:after="120"/>
        <w:jc w:val="both"/>
      </w:pPr>
      <w:r w:rsidRPr="00AB7688">
        <w:rPr>
          <w:rFonts w:ascii="Arial" w:hAnsi="Arial"/>
          <w:b/>
          <w:color w:val="333333"/>
        </w:rPr>
        <w:t xml:space="preserve">Customer Intelligence: </w:t>
      </w:r>
      <w:r w:rsidRPr="00AB7688">
        <w:rPr>
          <w:rFonts w:ascii="Arial" w:hAnsi="Arial"/>
          <w:color w:val="333333"/>
        </w:rPr>
        <w:t>Gauging customer behavior through Recency, Frequency, and Monetary (RFM) segmentation models.</w:t>
      </w:r>
    </w:p>
    <w:p w14:paraId="0934C755" w14:textId="3083D96D" w:rsidR="005868DD" w:rsidRDefault="00000000" w:rsidP="00AB7688">
      <w:pPr>
        <w:pStyle w:val="ListParagraph"/>
        <w:numPr>
          <w:ilvl w:val="0"/>
          <w:numId w:val="12"/>
        </w:numPr>
        <w:spacing w:after="120"/>
        <w:jc w:val="both"/>
      </w:pPr>
      <w:r w:rsidRPr="00AB7688">
        <w:rPr>
          <w:rFonts w:ascii="Arial" w:hAnsi="Arial"/>
          <w:b/>
          <w:color w:val="333333"/>
        </w:rPr>
        <w:t xml:space="preserve">Churn Prevention: </w:t>
      </w:r>
      <w:r w:rsidRPr="00AB7688">
        <w:rPr>
          <w:rFonts w:ascii="Arial" w:hAnsi="Arial"/>
          <w:color w:val="333333"/>
        </w:rPr>
        <w:t>Identifying high-risk accounts based on inactivity thresholds to prevent customer churn.</w:t>
      </w:r>
    </w:p>
    <w:p w14:paraId="48CFB369" w14:textId="374629F8" w:rsidR="005868DD" w:rsidRDefault="00000000" w:rsidP="00AB7688">
      <w:pPr>
        <w:pStyle w:val="ListParagraph"/>
        <w:numPr>
          <w:ilvl w:val="0"/>
          <w:numId w:val="12"/>
        </w:numPr>
        <w:spacing w:after="120"/>
        <w:jc w:val="both"/>
      </w:pPr>
      <w:r w:rsidRPr="00AB7688">
        <w:rPr>
          <w:rFonts w:ascii="Arial" w:hAnsi="Arial"/>
          <w:b/>
          <w:color w:val="333333"/>
        </w:rPr>
        <w:t xml:space="preserve">Inventory Optimization: </w:t>
      </w:r>
      <w:r w:rsidRPr="00AB7688">
        <w:rPr>
          <w:rFonts w:ascii="Arial" w:hAnsi="Arial"/>
          <w:color w:val="333333"/>
        </w:rPr>
        <w:t>Balancing stock levels using ABC inventory categorization and economic order quantity principles.</w:t>
      </w:r>
    </w:p>
    <w:p w14:paraId="6322B170" w14:textId="77777777" w:rsidR="005868DD" w:rsidRDefault="00000000" w:rsidP="00AB7688">
      <w:pPr>
        <w:keepNext/>
        <w:spacing w:before="240" w:after="80"/>
        <w:jc w:val="both"/>
      </w:pPr>
      <w:r>
        <w:rPr>
          <w:rFonts w:ascii="Arial" w:hAnsi="Arial"/>
          <w:b/>
          <w:color w:val="1B365D"/>
          <w:sz w:val="32"/>
        </w:rPr>
        <w:t>3. Technical Methodology</w:t>
      </w:r>
    </w:p>
    <w:p w14:paraId="44FDFDEA" w14:textId="77777777" w:rsidR="005868DD" w:rsidRDefault="00000000" w:rsidP="00AB7688">
      <w:pPr>
        <w:pStyle w:val="ListParagraph"/>
        <w:numPr>
          <w:ilvl w:val="0"/>
          <w:numId w:val="10"/>
        </w:numPr>
        <w:spacing w:after="120"/>
        <w:jc w:val="both"/>
      </w:pPr>
      <w:r w:rsidRPr="00AB7688">
        <w:rPr>
          <w:rFonts w:ascii="Arial" w:hAnsi="Arial"/>
          <w:b/>
          <w:color w:val="333333"/>
        </w:rPr>
        <w:t xml:space="preserve">Phase 1 - Data Ingestion &amp; ETL: </w:t>
      </w:r>
      <w:r w:rsidRPr="00AB7688">
        <w:rPr>
          <w:rFonts w:ascii="Arial" w:hAnsi="Arial"/>
          <w:color w:val="333333"/>
        </w:rPr>
        <w:t>Ingested historical retail datasets using Pandas, handling missing values, filtering invalid prices, and removing canceled transaction records.</w:t>
      </w:r>
    </w:p>
    <w:p w14:paraId="5F02C6E2" w14:textId="77777777" w:rsidR="005868DD" w:rsidRDefault="00000000" w:rsidP="00AB7688">
      <w:pPr>
        <w:pStyle w:val="ListParagraph"/>
        <w:numPr>
          <w:ilvl w:val="0"/>
          <w:numId w:val="10"/>
        </w:numPr>
        <w:spacing w:after="120"/>
        <w:jc w:val="both"/>
      </w:pPr>
      <w:r w:rsidRPr="00AB7688">
        <w:rPr>
          <w:rFonts w:ascii="Arial" w:hAnsi="Arial"/>
          <w:b/>
          <w:color w:val="333333"/>
        </w:rPr>
        <w:t xml:space="preserve">Phase 2 - Feature Engineering: </w:t>
      </w:r>
      <w:r w:rsidRPr="00AB7688">
        <w:rPr>
          <w:rFonts w:ascii="Arial" w:hAnsi="Arial"/>
          <w:color w:val="333333"/>
        </w:rPr>
        <w:t>Engineered custom behavioral features including customer recency, order frequency, total monetary spend, and monthly time-series aggregations.</w:t>
      </w:r>
    </w:p>
    <w:p w14:paraId="0894B3E2" w14:textId="77777777" w:rsidR="005868DD" w:rsidRDefault="00000000" w:rsidP="00AB7688">
      <w:pPr>
        <w:pStyle w:val="ListParagraph"/>
        <w:numPr>
          <w:ilvl w:val="0"/>
          <w:numId w:val="10"/>
        </w:numPr>
        <w:spacing w:after="120"/>
        <w:jc w:val="both"/>
      </w:pPr>
      <w:r w:rsidRPr="00AB7688">
        <w:rPr>
          <w:rFonts w:ascii="Arial" w:hAnsi="Arial"/>
          <w:b/>
          <w:color w:val="333333"/>
        </w:rPr>
        <w:t xml:space="preserve">Phase 3 - Application Deployment: </w:t>
      </w:r>
      <w:r w:rsidRPr="00AB7688">
        <w:rPr>
          <w:rFonts w:ascii="Arial" w:hAnsi="Arial"/>
          <w:color w:val="333333"/>
        </w:rPr>
        <w:t>Developed modular analytical components across 15 specialized views integrated seamlessly into a unified Streamlit application dashboard.</w:t>
      </w:r>
    </w:p>
    <w:p w14:paraId="4BC5882B" w14:textId="77777777" w:rsidR="005868DD" w:rsidRDefault="00000000" w:rsidP="00AB7688">
      <w:pPr>
        <w:keepNext/>
        <w:spacing w:before="240" w:after="80"/>
        <w:jc w:val="both"/>
      </w:pPr>
      <w:r>
        <w:rPr>
          <w:rFonts w:ascii="Arial" w:hAnsi="Arial"/>
          <w:b/>
          <w:color w:val="1B365D"/>
          <w:sz w:val="32"/>
        </w:rPr>
        <w:t>4. Key Performance Summary Table</w:t>
      </w:r>
    </w:p>
    <w:p w14:paraId="7405B3C2" w14:textId="77777777" w:rsidR="005868DD" w:rsidRDefault="00000000" w:rsidP="00AB7688">
      <w:pPr>
        <w:spacing w:after="120"/>
        <w:jc w:val="both"/>
      </w:pPr>
      <w:r>
        <w:rPr>
          <w:rFonts w:ascii="Arial" w:hAnsi="Arial"/>
          <w:color w:val="333333"/>
        </w:rPr>
        <w:t>The table below outlines the core metrics extracted from the global transactional dataset:</w:t>
      </w:r>
    </w:p>
    <w:tbl>
      <w:tblPr>
        <w:tblW w:w="0" w:type="auto"/>
        <w:tblInd w:w="108" w:type="dxa"/>
        <w:tblLook w:val="04A0" w:firstRow="1" w:lastRow="0" w:firstColumn="1" w:lastColumn="0" w:noHBand="0" w:noVBand="1"/>
      </w:tblPr>
      <w:tblGrid>
        <w:gridCol w:w="3524"/>
        <w:gridCol w:w="3632"/>
        <w:gridCol w:w="3632"/>
      </w:tblGrid>
      <w:tr w:rsidR="005868DD" w14:paraId="55007D4A" w14:textId="77777777" w:rsidTr="00AB7688">
        <w:trPr>
          <w:trHeight w:val="480"/>
        </w:trPr>
        <w:tc>
          <w:tcPr>
            <w:tcW w:w="3524" w:type="dxa"/>
            <w:shd w:val="clear" w:color="auto" w:fill="1B365D"/>
          </w:tcPr>
          <w:p w14:paraId="19CE0706" w14:textId="77777777" w:rsidR="005868DD" w:rsidRDefault="00000000" w:rsidP="00AB7688">
            <w:pPr>
              <w:spacing w:before="80" w:after="80"/>
              <w:jc w:val="both"/>
            </w:pPr>
            <w:r>
              <w:rPr>
                <w:rFonts w:ascii="Arial" w:hAnsi="Arial"/>
                <w:b/>
                <w:color w:val="FFFFFF"/>
                <w:sz w:val="20"/>
              </w:rPr>
              <w:t>Metric Category</w:t>
            </w:r>
          </w:p>
        </w:tc>
        <w:tc>
          <w:tcPr>
            <w:tcW w:w="3632" w:type="dxa"/>
            <w:shd w:val="clear" w:color="auto" w:fill="1B365D"/>
          </w:tcPr>
          <w:p w14:paraId="0FF03A3D" w14:textId="77777777" w:rsidR="005868DD" w:rsidRDefault="00000000" w:rsidP="00AB7688">
            <w:pPr>
              <w:spacing w:before="80" w:after="80"/>
              <w:jc w:val="both"/>
            </w:pPr>
            <w:r>
              <w:rPr>
                <w:rFonts w:ascii="Arial" w:hAnsi="Arial"/>
                <w:b/>
                <w:color w:val="FFFFFF"/>
                <w:sz w:val="20"/>
              </w:rPr>
              <w:t>Indicator Value</w:t>
            </w:r>
          </w:p>
        </w:tc>
        <w:tc>
          <w:tcPr>
            <w:tcW w:w="3632" w:type="dxa"/>
            <w:shd w:val="clear" w:color="auto" w:fill="1B365D"/>
          </w:tcPr>
          <w:p w14:paraId="0DF6ED76" w14:textId="77777777" w:rsidR="005868DD" w:rsidRDefault="00000000" w:rsidP="00AB7688">
            <w:pPr>
              <w:spacing w:before="80" w:after="80"/>
              <w:jc w:val="both"/>
            </w:pPr>
            <w:r>
              <w:rPr>
                <w:rFonts w:ascii="Arial" w:hAnsi="Arial"/>
                <w:b/>
                <w:color w:val="FFFFFF"/>
                <w:sz w:val="20"/>
              </w:rPr>
              <w:t>Analytical Focus</w:t>
            </w:r>
          </w:p>
        </w:tc>
      </w:tr>
      <w:tr w:rsidR="005868DD" w14:paraId="3AAF4923" w14:textId="77777777" w:rsidTr="00AB7688">
        <w:trPr>
          <w:trHeight w:val="494"/>
        </w:trPr>
        <w:tc>
          <w:tcPr>
            <w:tcW w:w="3524" w:type="dxa"/>
            <w:shd w:val="clear" w:color="auto" w:fill="F4F6F9"/>
          </w:tcPr>
          <w:p w14:paraId="0ED36D48" w14:textId="77777777" w:rsidR="005868DD" w:rsidRDefault="00000000" w:rsidP="00AB7688">
            <w:pPr>
              <w:spacing w:before="80" w:after="80"/>
              <w:jc w:val="both"/>
            </w:pPr>
            <w:r>
              <w:rPr>
                <w:rFonts w:ascii="Arial" w:hAnsi="Arial"/>
                <w:color w:val="333333"/>
                <w:sz w:val="20"/>
              </w:rPr>
              <w:t>Total Revenue</w:t>
            </w:r>
          </w:p>
        </w:tc>
        <w:tc>
          <w:tcPr>
            <w:tcW w:w="3632" w:type="dxa"/>
            <w:shd w:val="clear" w:color="auto" w:fill="F4F6F9"/>
          </w:tcPr>
          <w:p w14:paraId="60141E20" w14:textId="77777777" w:rsidR="005868DD" w:rsidRDefault="00000000" w:rsidP="00AB7688">
            <w:pPr>
              <w:spacing w:before="80" w:after="80"/>
              <w:jc w:val="both"/>
            </w:pPr>
            <w:r>
              <w:rPr>
                <w:rFonts w:ascii="Arial" w:hAnsi="Arial"/>
                <w:color w:val="333333"/>
                <w:sz w:val="20"/>
              </w:rPr>
              <w:t>10.27M</w:t>
            </w:r>
          </w:p>
        </w:tc>
        <w:tc>
          <w:tcPr>
            <w:tcW w:w="3632" w:type="dxa"/>
            <w:shd w:val="clear" w:color="auto" w:fill="F4F6F9"/>
          </w:tcPr>
          <w:p w14:paraId="7ED48996" w14:textId="77777777" w:rsidR="005868DD" w:rsidRDefault="00000000" w:rsidP="00AB7688">
            <w:pPr>
              <w:spacing w:before="80" w:after="80"/>
              <w:jc w:val="both"/>
            </w:pPr>
            <w:r>
              <w:rPr>
                <w:rFonts w:ascii="Arial" w:hAnsi="Arial"/>
                <w:color w:val="333333"/>
                <w:sz w:val="20"/>
              </w:rPr>
              <w:t>Overall sales financial output</w:t>
            </w:r>
          </w:p>
        </w:tc>
      </w:tr>
      <w:tr w:rsidR="005868DD" w14:paraId="51BE3DB7" w14:textId="77777777" w:rsidTr="00AB7688">
        <w:trPr>
          <w:trHeight w:val="783"/>
        </w:trPr>
        <w:tc>
          <w:tcPr>
            <w:tcW w:w="3524" w:type="dxa"/>
          </w:tcPr>
          <w:p w14:paraId="7195911D" w14:textId="77777777" w:rsidR="005868DD" w:rsidRDefault="00000000" w:rsidP="00AB7688">
            <w:pPr>
              <w:spacing w:before="80" w:after="80"/>
              <w:jc w:val="both"/>
            </w:pPr>
            <w:r>
              <w:rPr>
                <w:rFonts w:ascii="Arial" w:hAnsi="Arial"/>
                <w:color w:val="333333"/>
                <w:sz w:val="20"/>
              </w:rPr>
              <w:t>Total Orders</w:t>
            </w:r>
          </w:p>
        </w:tc>
        <w:tc>
          <w:tcPr>
            <w:tcW w:w="3632" w:type="dxa"/>
          </w:tcPr>
          <w:p w14:paraId="11ECF7BB" w14:textId="77777777" w:rsidR="005868DD" w:rsidRDefault="00000000" w:rsidP="00AB7688">
            <w:pPr>
              <w:spacing w:before="80" w:after="80"/>
              <w:jc w:val="both"/>
            </w:pPr>
            <w:r>
              <w:rPr>
                <w:rFonts w:ascii="Arial" w:hAnsi="Arial"/>
                <w:color w:val="333333"/>
                <w:sz w:val="20"/>
              </w:rPr>
              <w:t>21K</w:t>
            </w:r>
          </w:p>
        </w:tc>
        <w:tc>
          <w:tcPr>
            <w:tcW w:w="3632" w:type="dxa"/>
          </w:tcPr>
          <w:p w14:paraId="4AE86D84" w14:textId="77777777" w:rsidR="005868DD" w:rsidRDefault="00000000" w:rsidP="00AB7688">
            <w:pPr>
              <w:spacing w:before="80" w:after="80"/>
              <w:jc w:val="both"/>
            </w:pPr>
            <w:r>
              <w:rPr>
                <w:rFonts w:ascii="Arial" w:hAnsi="Arial"/>
                <w:color w:val="333333"/>
                <w:sz w:val="20"/>
              </w:rPr>
              <w:t>Transactional volume throughput</w:t>
            </w:r>
          </w:p>
        </w:tc>
      </w:tr>
      <w:tr w:rsidR="005868DD" w14:paraId="2FAACAD2" w14:textId="77777777" w:rsidTr="00AB7688">
        <w:trPr>
          <w:trHeight w:val="494"/>
        </w:trPr>
        <w:tc>
          <w:tcPr>
            <w:tcW w:w="3524" w:type="dxa"/>
            <w:shd w:val="clear" w:color="auto" w:fill="F4F6F9"/>
          </w:tcPr>
          <w:p w14:paraId="0A526A61" w14:textId="77777777" w:rsidR="005868DD" w:rsidRDefault="00000000" w:rsidP="00AB7688">
            <w:pPr>
              <w:spacing w:before="80" w:after="80"/>
              <w:jc w:val="both"/>
            </w:pPr>
            <w:r>
              <w:rPr>
                <w:rFonts w:ascii="Arial" w:hAnsi="Arial"/>
                <w:color w:val="333333"/>
                <w:sz w:val="20"/>
              </w:rPr>
              <w:t>Total Customers</w:t>
            </w:r>
          </w:p>
        </w:tc>
        <w:tc>
          <w:tcPr>
            <w:tcW w:w="3632" w:type="dxa"/>
            <w:shd w:val="clear" w:color="auto" w:fill="F4F6F9"/>
          </w:tcPr>
          <w:p w14:paraId="16C7B700" w14:textId="77777777" w:rsidR="005868DD" w:rsidRDefault="00000000" w:rsidP="00AB7688">
            <w:pPr>
              <w:spacing w:before="80" w:after="80"/>
              <w:jc w:val="both"/>
            </w:pPr>
            <w:r>
              <w:rPr>
                <w:rFonts w:ascii="Arial" w:hAnsi="Arial"/>
                <w:color w:val="333333"/>
                <w:sz w:val="20"/>
              </w:rPr>
              <w:t>4,313</w:t>
            </w:r>
          </w:p>
        </w:tc>
        <w:tc>
          <w:tcPr>
            <w:tcW w:w="3632" w:type="dxa"/>
            <w:shd w:val="clear" w:color="auto" w:fill="F4F6F9"/>
          </w:tcPr>
          <w:p w14:paraId="06C4317A" w14:textId="77777777" w:rsidR="005868DD" w:rsidRDefault="00000000" w:rsidP="00AB7688">
            <w:pPr>
              <w:spacing w:before="80" w:after="80"/>
              <w:jc w:val="both"/>
            </w:pPr>
            <w:r>
              <w:rPr>
                <w:rFonts w:ascii="Arial" w:hAnsi="Arial"/>
                <w:color w:val="333333"/>
                <w:sz w:val="20"/>
              </w:rPr>
              <w:t>Unique active buyer accounts</w:t>
            </w:r>
          </w:p>
        </w:tc>
      </w:tr>
      <w:tr w:rsidR="005868DD" w14:paraId="14030836" w14:textId="77777777" w:rsidTr="00AB7688">
        <w:trPr>
          <w:trHeight w:val="480"/>
        </w:trPr>
        <w:tc>
          <w:tcPr>
            <w:tcW w:w="3524" w:type="dxa"/>
          </w:tcPr>
          <w:p w14:paraId="4633A84A" w14:textId="77777777" w:rsidR="005868DD" w:rsidRDefault="00000000" w:rsidP="00AB7688">
            <w:pPr>
              <w:spacing w:before="80" w:after="80"/>
              <w:jc w:val="both"/>
            </w:pPr>
            <w:r>
              <w:rPr>
                <w:rFonts w:ascii="Arial" w:hAnsi="Arial"/>
                <w:color w:val="333333"/>
                <w:sz w:val="20"/>
              </w:rPr>
              <w:t>Global Reach</w:t>
            </w:r>
          </w:p>
        </w:tc>
        <w:tc>
          <w:tcPr>
            <w:tcW w:w="3632" w:type="dxa"/>
          </w:tcPr>
          <w:p w14:paraId="46CBFC18" w14:textId="77777777" w:rsidR="005868DD" w:rsidRDefault="00000000" w:rsidP="00AB7688">
            <w:pPr>
              <w:spacing w:before="80" w:after="80"/>
              <w:jc w:val="both"/>
            </w:pPr>
            <w:r>
              <w:rPr>
                <w:rFonts w:ascii="Arial" w:hAnsi="Arial"/>
                <w:color w:val="333333"/>
                <w:sz w:val="20"/>
              </w:rPr>
              <w:t>40 Countries</w:t>
            </w:r>
          </w:p>
        </w:tc>
        <w:tc>
          <w:tcPr>
            <w:tcW w:w="3632" w:type="dxa"/>
          </w:tcPr>
          <w:p w14:paraId="1A92FD10" w14:textId="77777777" w:rsidR="005868DD" w:rsidRDefault="00000000" w:rsidP="00AB7688">
            <w:pPr>
              <w:spacing w:before="80" w:after="80"/>
              <w:jc w:val="both"/>
            </w:pPr>
            <w:r>
              <w:rPr>
                <w:rFonts w:ascii="Arial" w:hAnsi="Arial"/>
                <w:color w:val="333333"/>
                <w:sz w:val="20"/>
              </w:rPr>
              <w:t>International market presence</w:t>
            </w:r>
          </w:p>
        </w:tc>
      </w:tr>
      <w:tr w:rsidR="005868DD" w14:paraId="16976957" w14:textId="77777777" w:rsidTr="00AB7688">
        <w:trPr>
          <w:trHeight w:val="783"/>
        </w:trPr>
        <w:tc>
          <w:tcPr>
            <w:tcW w:w="3524" w:type="dxa"/>
            <w:shd w:val="clear" w:color="auto" w:fill="F4F6F9"/>
          </w:tcPr>
          <w:p w14:paraId="535EB856" w14:textId="77777777" w:rsidR="005868DD" w:rsidRDefault="00000000" w:rsidP="00AB7688">
            <w:pPr>
              <w:spacing w:before="80" w:after="80"/>
              <w:jc w:val="both"/>
            </w:pPr>
            <w:r>
              <w:rPr>
                <w:rFonts w:ascii="Arial" w:hAnsi="Arial"/>
                <w:color w:val="333333"/>
                <w:sz w:val="20"/>
              </w:rPr>
              <w:t>Average Order Value</w:t>
            </w:r>
          </w:p>
        </w:tc>
        <w:tc>
          <w:tcPr>
            <w:tcW w:w="3632" w:type="dxa"/>
            <w:shd w:val="clear" w:color="auto" w:fill="F4F6F9"/>
          </w:tcPr>
          <w:p w14:paraId="73D2A856" w14:textId="77777777" w:rsidR="005868DD" w:rsidRDefault="00000000" w:rsidP="00AB7688">
            <w:pPr>
              <w:spacing w:before="80" w:after="80"/>
              <w:jc w:val="both"/>
            </w:pPr>
            <w:r>
              <w:rPr>
                <w:rFonts w:ascii="Arial" w:hAnsi="Arial"/>
                <w:color w:val="333333"/>
                <w:sz w:val="20"/>
              </w:rPr>
              <w:t>490.28</w:t>
            </w:r>
          </w:p>
        </w:tc>
        <w:tc>
          <w:tcPr>
            <w:tcW w:w="3632" w:type="dxa"/>
            <w:shd w:val="clear" w:color="auto" w:fill="F4F6F9"/>
          </w:tcPr>
          <w:p w14:paraId="7390D710" w14:textId="77777777" w:rsidR="005868DD" w:rsidRDefault="00000000" w:rsidP="00AB7688">
            <w:pPr>
              <w:spacing w:before="80" w:after="80"/>
              <w:jc w:val="both"/>
            </w:pPr>
            <w:r>
              <w:rPr>
                <w:rFonts w:ascii="Arial" w:hAnsi="Arial"/>
                <w:color w:val="333333"/>
                <w:sz w:val="20"/>
              </w:rPr>
              <w:t>Mean basket value per transaction</w:t>
            </w:r>
          </w:p>
        </w:tc>
      </w:tr>
    </w:tbl>
    <w:p w14:paraId="6DFD2344" w14:textId="77777777" w:rsidR="00AB7688" w:rsidRDefault="00AB7688" w:rsidP="00AB7688">
      <w:pPr>
        <w:keepNext/>
        <w:spacing w:before="240" w:after="80"/>
        <w:jc w:val="both"/>
        <w:rPr>
          <w:rFonts w:ascii="Arial" w:hAnsi="Arial"/>
          <w:b/>
          <w:color w:val="1B365D"/>
          <w:sz w:val="32"/>
        </w:rPr>
      </w:pPr>
    </w:p>
    <w:p w14:paraId="241CF770" w14:textId="19B91F94" w:rsidR="005868DD" w:rsidRDefault="00000000" w:rsidP="00AB7688">
      <w:pPr>
        <w:keepNext/>
        <w:spacing w:before="240" w:after="80"/>
        <w:jc w:val="both"/>
      </w:pPr>
      <w:r>
        <w:rPr>
          <w:rFonts w:ascii="Arial" w:hAnsi="Arial"/>
          <w:b/>
          <w:color w:val="1B365D"/>
          <w:sz w:val="32"/>
        </w:rPr>
        <w:t>5. Technology Stack</w:t>
      </w:r>
    </w:p>
    <w:p w14:paraId="064D4A80" w14:textId="77777777" w:rsidR="005868DD" w:rsidRDefault="00000000" w:rsidP="00AB7688">
      <w:pPr>
        <w:spacing w:after="120"/>
        <w:jc w:val="both"/>
      </w:pPr>
      <w:r>
        <w:rPr>
          <w:rFonts w:ascii="Arial" w:hAnsi="Arial"/>
          <w:b/>
          <w:color w:val="333333"/>
        </w:rPr>
        <w:t xml:space="preserve">• Programming Language: </w:t>
      </w:r>
      <w:r>
        <w:rPr>
          <w:rFonts w:ascii="Arial" w:hAnsi="Arial"/>
          <w:color w:val="333333"/>
        </w:rPr>
        <w:t>Python 3.12 for core data processing and algorithmic computation.</w:t>
      </w:r>
    </w:p>
    <w:p w14:paraId="5E2FB690" w14:textId="77777777" w:rsidR="005868DD" w:rsidRDefault="00000000" w:rsidP="00AB7688">
      <w:pPr>
        <w:spacing w:after="120"/>
        <w:jc w:val="both"/>
      </w:pPr>
      <w:r>
        <w:rPr>
          <w:rFonts w:ascii="Arial" w:hAnsi="Arial"/>
          <w:b/>
          <w:color w:val="333333"/>
        </w:rPr>
        <w:t xml:space="preserve">• Dashboard Framework: </w:t>
      </w:r>
      <w:r>
        <w:rPr>
          <w:rFonts w:ascii="Arial" w:hAnsi="Arial"/>
          <w:color w:val="333333"/>
        </w:rPr>
        <w:t>Streamlit framework with custom CSS styling and native multi-page routing.</w:t>
      </w:r>
    </w:p>
    <w:p w14:paraId="677B96A4" w14:textId="77777777" w:rsidR="005868DD" w:rsidRDefault="00000000" w:rsidP="00AB7688">
      <w:pPr>
        <w:spacing w:after="120"/>
        <w:jc w:val="both"/>
      </w:pPr>
      <w:r>
        <w:rPr>
          <w:rFonts w:ascii="Arial" w:hAnsi="Arial"/>
          <w:b/>
          <w:color w:val="333333"/>
        </w:rPr>
        <w:t xml:space="preserve">• Visualization Engine: </w:t>
      </w:r>
      <w:r>
        <w:rPr>
          <w:rFonts w:ascii="Arial" w:hAnsi="Arial"/>
          <w:color w:val="333333"/>
        </w:rPr>
        <w:t>Plotly Express for dynamic, interactive data visualizations and charts.</w:t>
      </w:r>
    </w:p>
    <w:p w14:paraId="0B4EF3BD" w14:textId="77777777" w:rsidR="005868DD" w:rsidRDefault="00000000" w:rsidP="00AB7688">
      <w:pPr>
        <w:spacing w:after="120"/>
        <w:jc w:val="both"/>
      </w:pPr>
      <w:r>
        <w:rPr>
          <w:rFonts w:ascii="Arial" w:hAnsi="Arial"/>
          <w:b/>
          <w:color w:val="333333"/>
        </w:rPr>
        <w:t xml:space="preserve">• Deployment &amp; Version Control: </w:t>
      </w:r>
      <w:r>
        <w:rPr>
          <w:rFonts w:ascii="Arial" w:hAnsi="Arial"/>
          <w:color w:val="333333"/>
        </w:rPr>
        <w:t>Git and GitHub for robust version control and deployment integration.</w:t>
      </w:r>
    </w:p>
    <w:p w14:paraId="6EE94B2F" w14:textId="77777777" w:rsidR="005868DD" w:rsidRDefault="00000000" w:rsidP="00AB7688">
      <w:pPr>
        <w:keepNext/>
        <w:spacing w:before="240" w:after="80"/>
        <w:jc w:val="both"/>
      </w:pPr>
      <w:r>
        <w:rPr>
          <w:rFonts w:ascii="Arial" w:hAnsi="Arial"/>
          <w:b/>
          <w:color w:val="1B365D"/>
          <w:sz w:val="32"/>
        </w:rPr>
        <w:t>6. Conclusion</w:t>
      </w:r>
    </w:p>
    <w:p w14:paraId="06F64CC1" w14:textId="77777777" w:rsidR="005868DD" w:rsidRDefault="00000000" w:rsidP="00AB7688">
      <w:pPr>
        <w:spacing w:after="120"/>
        <w:jc w:val="both"/>
      </w:pPr>
      <w:r>
        <w:rPr>
          <w:rFonts w:ascii="Arial" w:hAnsi="Arial"/>
          <w:b/>
          <w:color w:val="333333"/>
        </w:rPr>
        <w:t xml:space="preserve">Summary: </w:t>
      </w:r>
      <w:r>
        <w:rPr>
          <w:rFonts w:ascii="Arial" w:hAnsi="Arial"/>
          <w:color w:val="333333"/>
        </w:rPr>
        <w:t>RetailPulse AI successfully bridges the gap between raw data science modeling and practical business intelligence. By combining robust multi-page analytics, real-time filtering, and professional UI layout, the platform delivers a scalable solution for modern retail environments.</w:t>
      </w:r>
    </w:p>
    <w:sectPr w:rsidR="005868DD" w:rsidSect="00AB76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C639A"/>
    <w:multiLevelType w:val="hybridMultilevel"/>
    <w:tmpl w:val="CBF069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0E6C722E"/>
    <w:multiLevelType w:val="hybridMultilevel"/>
    <w:tmpl w:val="312CB608"/>
    <w:lvl w:ilvl="0" w:tplc="3A9CEDEC">
      <w:numFmt w:val="bullet"/>
      <w:lvlText w:val="•"/>
      <w:lvlJc w:val="left"/>
      <w:pPr>
        <w:ind w:left="644" w:hanging="360"/>
      </w:pPr>
      <w:rPr>
        <w:rFonts w:ascii="Arial" w:eastAsiaTheme="minorEastAsia" w:hAnsi="Arial" w:cs="Arial" w:hint="default"/>
        <w:b/>
        <w:color w:val="333333"/>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639F069A"/>
    <w:multiLevelType w:val="hybridMultilevel"/>
    <w:tmpl w:val="CEB21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2250356">
    <w:abstractNumId w:val="8"/>
  </w:num>
  <w:num w:numId="2" w16cid:durableId="1313103638">
    <w:abstractNumId w:val="6"/>
  </w:num>
  <w:num w:numId="3" w16cid:durableId="1946110392">
    <w:abstractNumId w:val="5"/>
  </w:num>
  <w:num w:numId="4" w16cid:durableId="2106025962">
    <w:abstractNumId w:val="4"/>
  </w:num>
  <w:num w:numId="5" w16cid:durableId="1907492508">
    <w:abstractNumId w:val="7"/>
  </w:num>
  <w:num w:numId="6" w16cid:durableId="234511166">
    <w:abstractNumId w:val="3"/>
  </w:num>
  <w:num w:numId="7" w16cid:durableId="2113668359">
    <w:abstractNumId w:val="2"/>
  </w:num>
  <w:num w:numId="8" w16cid:durableId="538130360">
    <w:abstractNumId w:val="1"/>
  </w:num>
  <w:num w:numId="9" w16cid:durableId="1292786528">
    <w:abstractNumId w:val="0"/>
  </w:num>
  <w:num w:numId="10" w16cid:durableId="2073431606">
    <w:abstractNumId w:val="11"/>
  </w:num>
  <w:num w:numId="11" w16cid:durableId="858397056">
    <w:abstractNumId w:val="9"/>
  </w:num>
  <w:num w:numId="12" w16cid:durableId="253829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8DD"/>
    <w:rsid w:val="008D5923"/>
    <w:rsid w:val="00AA1D8D"/>
    <w:rsid w:val="00AB76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546D7"/>
  <w14:defaultImageDpi w14:val="300"/>
  <w15:docId w15:val="{F7D9B498-8F5F-4150-809D-18C2ABA1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Gulafsha Gulafsha</cp:lastModifiedBy>
  <cp:revision>3</cp:revision>
  <cp:lastPrinted>2026-08-07T14:25:00Z</cp:lastPrinted>
  <dcterms:created xsi:type="dcterms:W3CDTF">2013-12-23T23:15:00Z</dcterms:created>
  <dcterms:modified xsi:type="dcterms:W3CDTF">2026-08-07T14:26:00Z</dcterms:modified>
  <cp:category/>
</cp:coreProperties>
</file>